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4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oter+xml" PartName="/word/footer6.xml"/>
  <Override ContentType="application/vnd.openxmlformats-officedocument.wordprocessingml.footer+xml" PartName="/word/footer7.xml"/>
  <Override ContentType="application/vnd.openxmlformats-officedocument.wordprocessingml.footer+xml" PartName="/word/footer5.xml"/>
  <Override ContentType="application/vnd.openxmlformats-officedocument.wordprocessingml.footer+xml" PartName="/word/footer8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8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  <Override ContentType="application/vnd.openxmlformats-officedocument.wordprocessingml.header+xml" PartName="/word/header4.xml"/>
  <Override ContentType="application/vnd.openxmlformats-officedocument.wordprocessingml.header+xml" PartName="/word/header7.xml"/>
  <Override ContentType="application/vnd.openxmlformats-officedocument.wordprocessingml.header+xml" PartName="/word/header6.xml"/>
  <Override ContentType="application/vnd.openxmlformats-officedocument.wordprocessingml.header+xml" PartName="/word/header5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left"/>
        <w:rPr/>
      </w:pPr>
      <w:r w:rsidDel="00000000" w:rsidR="00000000" w:rsidRPr="00000000">
        <w:rPr/>
        <w:drawing>
          <wp:anchor allowOverlap="1" behindDoc="0" distB="36195" distT="0" distL="0" distR="575945" hidden="0" layoutInCell="1" locked="0" relativeHeight="0" simplePos="0">
            <wp:simplePos x="0" y="0"/>
            <wp:positionH relativeFrom="page">
              <wp:posOffset>661035</wp:posOffset>
            </wp:positionH>
            <wp:positionV relativeFrom="page">
              <wp:posOffset>2775585</wp:posOffset>
            </wp:positionV>
            <wp:extent cx="2879725" cy="1746250"/>
            <wp:effectExtent b="0" l="0" r="0" t="0"/>
            <wp:wrapNone/>
            <wp:docPr id="21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 b="0" l="0" r="239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7462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1"/>
        <w:numPr>
          <w:ilvl w:val="0"/>
          <w:numId w:val="3"/>
        </w:numPr>
        <w:ind w:left="0" w:right="0" w:firstLine="0"/>
        <w:rPr>
          <w:sz w:val="36"/>
          <w:szCs w:val="36"/>
        </w:rPr>
      </w:pPr>
      <w:r w:rsidDel="00000000" w:rsidR="00000000" w:rsidRPr="00000000">
        <w:rPr>
          <w:sz w:val="36"/>
          <w:szCs w:val="36"/>
          <w:rtl w:val="0"/>
        </w:rPr>
        <w:t xml:space="preserve">La EBC y el sistema económico actual bajo la lupa</w:t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-647699</wp:posOffset>
                </wp:positionH>
                <wp:positionV relativeFrom="paragraph">
                  <wp:posOffset>114300</wp:posOffset>
                </wp:positionV>
                <wp:extent cx="7569835" cy="741768"/>
                <wp:effectExtent b="0" l="0" r="0" t="0"/>
                <wp:wrapSquare wrapText="bothSides" distB="0" distT="0" distL="0" distR="0"/>
                <wp:docPr id="1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1565820" y="3420000"/>
                          <a:ext cx="7560360" cy="720000"/>
                        </a:xfrm>
                        <a:prstGeom prst="rect">
                          <a:avLst/>
                        </a:prstGeom>
                        <a:solidFill>
                          <a:srgbClr val="889E33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ffffff"/>
                                <w:sz w:val="64"/>
                                <w:vertAlign w:val="baseline"/>
                              </w:rPr>
                              <w:t xml:space="preserve">Comparación E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ffffff"/>
                                <w:sz w:val="64"/>
                                <w:vertAlign w:val="baseline"/>
                              </w:rPr>
                              <w:t xml:space="preserve">BC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ffffff"/>
                                <w:sz w:val="64"/>
                                <w:vertAlign w:val="baseline"/>
                              </w:rPr>
                              <w:t xml:space="preserve"> Puntos clave</w:t>
                            </w:r>
                          </w:p>
                        </w:txbxContent>
                      </wps:txbx>
                      <wps:bodyPr anchorCtr="0" anchor="ctr" bIns="0" lIns="0" spcFirstLastPara="1" rIns="0" wrap="square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-647699</wp:posOffset>
                </wp:positionH>
                <wp:positionV relativeFrom="paragraph">
                  <wp:posOffset>114300</wp:posOffset>
                </wp:positionV>
                <wp:extent cx="7569835" cy="741768"/>
                <wp:effectExtent b="0" l="0" r="0" t="0"/>
                <wp:wrapSquare wrapText="bothSides" distB="0" distT="0" distL="0" distR="0"/>
                <wp:docPr id="17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69835" cy="74176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"/>
        <w:tblW w:w="4620.0" w:type="dxa"/>
        <w:jc w:val="left"/>
        <w:tblInd w:w="5280.0" w:type="dxa"/>
        <w:tblLayout w:type="fixed"/>
        <w:tblLook w:val="0000"/>
      </w:tblPr>
      <w:tblGrid>
        <w:gridCol w:w="1248"/>
        <w:gridCol w:w="3372"/>
        <w:tblGridChange w:id="0">
          <w:tblGrid>
            <w:gridCol w:w="1248"/>
            <w:gridCol w:w="3372"/>
          </w:tblGrid>
        </w:tblGridChange>
      </w:tblGrid>
      <w:tr>
        <w:trPr>
          <w:cantSplit w:val="0"/>
          <w:trHeight w:val="907" w:hRule="atLeast"/>
          <w:tblHeader w:val="0"/>
        </w:trPr>
        <w:tc>
          <w:tcPr>
            <w:tcBorders>
              <w:top w:color="009999" w:space="0" w:sz="10" w:val="single"/>
              <w:bottom w:color="009999" w:space="0" w:sz="10" w:val="single"/>
            </w:tcBorders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Liberation Serif" w:cs="Liberation Serif" w:eastAsia="Liberation Serif" w:hAnsi="Liberation Serif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0" distR="0" hidden="0" layoutInCell="1" locked="0" relativeHeight="0" simplePos="0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67945</wp:posOffset>
                  </wp:positionV>
                  <wp:extent cx="445135" cy="445135"/>
                  <wp:effectExtent b="0" l="0" r="0" t="0"/>
                  <wp:wrapNone/>
                  <wp:docPr id="30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135" cy="4451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Liberation Serif" w:cs="Liberation Serif" w:eastAsia="Liberation Serif" w:hAnsi="Liberation Serif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Liberation Serif" w:cs="Liberation Serif" w:eastAsia="Liberation Serif" w:hAnsi="Liberation Serif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9999" w:space="0" w:sz="10" w:val="single"/>
              <w:bottom w:color="009999" w:space="0" w:sz="10" w:val="single"/>
            </w:tcBorders>
            <w:vAlign w:val="center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3000"/>
              </w:tabs>
              <w:spacing w:after="57" w:before="0" w:line="288" w:lineRule="auto"/>
              <w:ind w:left="227" w:right="0" w:hanging="227"/>
              <w:jc w:val="both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595959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595959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25 - 40 minutos </w:t>
            </w:r>
          </w:p>
        </w:tc>
      </w:tr>
      <w:tr>
        <w:trPr>
          <w:cantSplit w:val="0"/>
          <w:trHeight w:val="907" w:hRule="atLeast"/>
          <w:tblHeader w:val="0"/>
        </w:trPr>
        <w:tc>
          <w:tcPr>
            <w:tcBorders>
              <w:bottom w:color="009999" w:space="0" w:sz="10" w:val="single"/>
            </w:tcBorders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Liberation Serif" w:cs="Liberation Serif" w:eastAsia="Liberation Serif" w:hAnsi="Liberation Serif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0" distR="0" hidden="0" layoutInCell="1" locked="0" relativeHeight="0" simplePos="0">
                  <wp:simplePos x="0" y="0"/>
                  <wp:positionH relativeFrom="column">
                    <wp:posOffset>80010</wp:posOffset>
                  </wp:positionH>
                  <wp:positionV relativeFrom="paragraph">
                    <wp:posOffset>40640</wp:posOffset>
                  </wp:positionV>
                  <wp:extent cx="525145" cy="406400"/>
                  <wp:effectExtent b="0" l="0" r="0" t="0"/>
                  <wp:wrapNone/>
                  <wp:docPr id="23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0"/>
                          <a:srcRect b="0" l="0" r="0" t="282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145" cy="406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Liberation Serif" w:cs="Liberation Serif" w:eastAsia="Liberation Serif" w:hAnsi="Liberation Serif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9999" w:space="0" w:sz="10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tabs>
                <w:tab w:val="left" w:leader="none" w:pos="3000"/>
              </w:tabs>
              <w:ind w:left="0" w:right="340" w:firstLine="0"/>
              <w:jc w:val="left"/>
              <w:rPr>
                <w:rFonts w:ascii="Arial" w:cs="Arial" w:eastAsia="Arial" w:hAnsi="Arial"/>
                <w:b w:val="1"/>
                <w:i w:val="0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95959"/>
                <w:sz w:val="22"/>
                <w:szCs w:val="22"/>
                <w:rtl w:val="0"/>
              </w:rPr>
              <w:t xml:space="preserve">Edades: A partir de 15 años</w:t>
            </w:r>
          </w:p>
          <w:p w:rsidR="00000000" w:rsidDel="00000000" w:rsidP="00000000" w:rsidRDefault="00000000" w:rsidRPr="00000000" w14:paraId="0000000A">
            <w:pPr>
              <w:tabs>
                <w:tab w:val="left" w:leader="none" w:pos="3000"/>
              </w:tabs>
              <w:ind w:left="0" w:right="340" w:firstLine="0"/>
              <w:jc w:val="left"/>
              <w:rPr>
                <w:rFonts w:ascii="Arial" w:cs="Arial" w:eastAsia="Arial" w:hAnsi="Arial"/>
                <w:b w:val="1"/>
                <w:i w:val="0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95959"/>
                <w:sz w:val="22"/>
                <w:szCs w:val="22"/>
                <w:rtl w:val="0"/>
              </w:rPr>
              <w:t xml:space="preserve">N° Participantes: a partir de 2</w:t>
            </w:r>
          </w:p>
          <w:p w:rsidR="00000000" w:rsidDel="00000000" w:rsidP="00000000" w:rsidRDefault="00000000" w:rsidRPr="00000000" w14:paraId="0000000B">
            <w:pPr>
              <w:tabs>
                <w:tab w:val="left" w:leader="none" w:pos="3000"/>
              </w:tabs>
              <w:ind w:left="0" w:right="340" w:firstLine="0"/>
              <w:jc w:val="left"/>
              <w:rPr>
                <w:rFonts w:ascii="Arial" w:cs="Arial" w:eastAsia="Arial" w:hAnsi="Arial"/>
                <w:b w:val="1"/>
                <w:i w:val="0"/>
                <w:color w:val="595959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95959"/>
                <w:sz w:val="22"/>
                <w:szCs w:val="22"/>
                <w:rtl w:val="0"/>
              </w:rPr>
              <w:t xml:space="preserve">N° Grupos: 2-5</w:t>
            </w:r>
          </w:p>
        </w:tc>
      </w:tr>
      <w:tr>
        <w:trPr>
          <w:cantSplit w:val="0"/>
          <w:trHeight w:val="907" w:hRule="atLeast"/>
          <w:tblHeader w:val="0"/>
        </w:trPr>
        <w:tc>
          <w:tcPr>
            <w:tcBorders>
              <w:bottom w:color="009999" w:space="0" w:sz="10" w:val="single"/>
            </w:tcBorders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Liberation Serif" w:cs="Liberation Serif" w:eastAsia="Liberation Serif" w:hAnsi="Liberation Serif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0" distR="0" hidden="0" layoutInCell="1" locked="0" relativeHeight="0" simplePos="0">
                  <wp:simplePos x="0" y="0"/>
                  <wp:positionH relativeFrom="column">
                    <wp:posOffset>100965</wp:posOffset>
                  </wp:positionH>
                  <wp:positionV relativeFrom="paragraph">
                    <wp:posOffset>82550</wp:posOffset>
                  </wp:positionV>
                  <wp:extent cx="445770" cy="324485"/>
                  <wp:effectExtent b="0" l="0" r="0" t="0"/>
                  <wp:wrapSquare wrapText="bothSides" distB="0" distT="0" distL="0" distR="0"/>
                  <wp:docPr id="26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1"/>
                          <a:srcRect b="15332" l="27065" r="27446" t="12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70" cy="3244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bottom w:color="009999" w:space="0" w:sz="10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3000"/>
              </w:tabs>
              <w:spacing w:after="57" w:before="0" w:line="288" w:lineRule="auto"/>
              <w:ind w:left="227" w:right="0" w:hanging="227"/>
              <w:jc w:val="both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595959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595959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Pares de cartas</w:t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3000"/>
              </w:tabs>
              <w:spacing w:after="57" w:before="0" w:line="288" w:lineRule="auto"/>
              <w:ind w:left="227" w:right="0" w:hanging="227"/>
              <w:jc w:val="both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595959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595959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Instrucciones</w:t>
            </w:r>
          </w:p>
        </w:tc>
      </w:tr>
    </w:tbl>
    <w:p w:rsidR="00000000" w:rsidDel="00000000" w:rsidP="00000000" w:rsidRDefault="00000000" w:rsidRPr="00000000" w14:paraId="0000000F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left"/>
        <w:rPr/>
        <w:sectPr>
          <w:headerReference r:id="rId12" w:type="default"/>
          <w:headerReference r:id="rId13" w:type="first"/>
          <w:footerReference r:id="rId14" w:type="default"/>
          <w:footerReference r:id="rId15" w:type="first"/>
          <w:pgSz w:h="16838" w:w="11906" w:orient="portrait"/>
          <w:pgMar w:bottom="1133" w:top="1416" w:left="1020" w:right="1020" w:header="850" w:footer="681"/>
          <w:pgNumType w:start="1"/>
          <w:titlePg w:val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889e33" w:val="clear"/>
        <w:spacing w:after="170" w:before="113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  <w:rtl w:val="0"/>
        </w:rPr>
        <w:t xml:space="preserve">Breve descripción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Según el principio de memoria, los participantes deben encontrar las</w:t>
      </w:r>
      <w:r w:rsidDel="00000000" w:rsidR="00000000" w:rsidRPr="00000000">
        <w:rPr>
          <w:rFonts w:ascii="Arial" w:cs="Arial" w:eastAsia="Arial" w:hAnsi="Arial"/>
          <w:color w:val="5a5a5a"/>
          <w:sz w:val="20"/>
          <w:szCs w:val="20"/>
          <w:rtl w:val="0"/>
        </w:rPr>
        <w:t xml:space="preserve"> parejas de contrapartidas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 correspondientes. Siempre hay una alternativa coincidente de</w:t>
      </w:r>
      <w:r w:rsidDel="00000000" w:rsidR="00000000" w:rsidRPr="00000000">
        <w:rPr>
          <w:rFonts w:ascii="Arial" w:cs="Arial" w:eastAsia="Arial" w:hAnsi="Arial"/>
          <w:color w:val="5a5a5a"/>
          <w:sz w:val="20"/>
          <w:szCs w:val="20"/>
          <w:rtl w:val="0"/>
        </w:rPr>
        <w:t xml:space="preserve"> la EBC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 para una tarjeta que representa un punto clave del sistema económico actual. El juego se desarrolla en equipo. El objetivo es encontrar todas las equivalencias o parejas al final del juego. 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889e33" w:val="clear"/>
        <w:spacing w:after="170" w:before="113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  <w:rtl w:val="0"/>
        </w:rPr>
        <w:t xml:space="preserve"> Objetivos de conocimiento 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227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Los participantes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pueden 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397" w:right="0" w:hanging="34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...describir los puntos clave de la Economía del Bien Común. 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397" w:right="0" w:hanging="34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...comparar y evaluar aspectos del sistema económico actual con </w:t>
      </w:r>
      <w:r w:rsidDel="00000000" w:rsidR="00000000" w:rsidRPr="00000000">
        <w:rPr>
          <w:rFonts w:ascii="Arial" w:cs="Arial" w:eastAsia="Arial" w:hAnsi="Arial"/>
          <w:color w:val="5a5a5a"/>
          <w:sz w:val="20"/>
          <w:szCs w:val="20"/>
          <w:rtl w:val="0"/>
        </w:rPr>
        <w:t xml:space="preserve">la EBC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leader="none" w:pos="0"/>
          <w:tab w:val="left" w:leader="none" w:pos="6"/>
          <w:tab w:val="left" w:leader="none" w:pos="17"/>
        </w:tabs>
        <w:spacing w:after="0" w:before="0" w:lineRule="auto"/>
        <w:ind w:left="0" w:right="0" w:firstLine="0"/>
        <w:jc w:val="left"/>
        <w:rPr>
          <w:rFonts w:ascii="Arial" w:cs="Arial" w:eastAsia="Arial" w:hAnsi="Arial"/>
          <w:b w:val="1"/>
          <w:i w:val="0"/>
          <w:color w:val="5a5a5a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color w:val="5a5a5a"/>
          <w:sz w:val="20"/>
          <w:szCs w:val="20"/>
          <w:rtl w:val="0"/>
        </w:rPr>
        <w:t xml:space="preserve">  </w:t>
      </w:r>
      <w:r w:rsidDel="00000000" w:rsidR="00000000" w:rsidRPr="00000000">
        <w:rPr>
          <w:rFonts w:ascii="Arial" w:cs="Arial" w:eastAsia="Arial" w:hAnsi="Arial"/>
          <w:b w:val="1"/>
          <w:i w:val="0"/>
          <w:color w:val="5a5a5a"/>
          <w:sz w:val="20"/>
          <w:szCs w:val="20"/>
          <w:rtl w:val="0"/>
        </w:rPr>
        <w:t xml:space="preserve">I</w:t>
      </w:r>
      <w:r w:rsidDel="00000000" w:rsidR="00000000" w:rsidRPr="00000000">
        <w:rPr>
          <w:rFonts w:ascii="Arial" w:cs="Arial" w:eastAsia="Arial" w:hAnsi="Arial"/>
          <w:b w:val="1"/>
          <w:color w:val="5a5a5a"/>
          <w:sz w:val="20"/>
          <w:szCs w:val="20"/>
          <w:rtl w:val="0"/>
        </w:rPr>
        <w:t xml:space="preserve">)    </w:t>
      </w:r>
      <w:r w:rsidDel="00000000" w:rsidR="00000000" w:rsidRPr="00000000">
        <w:rPr>
          <w:rFonts w:ascii="Arial" w:cs="Arial" w:eastAsia="Arial" w:hAnsi="Arial"/>
          <w:b w:val="1"/>
          <w:i w:val="0"/>
          <w:color w:val="5a5a5a"/>
          <w:sz w:val="20"/>
          <w:szCs w:val="20"/>
          <w:rtl w:val="0"/>
        </w:rPr>
        <w:t xml:space="preserve">Análisis del problema</w:t>
        <w:tab/>
        <w:t xml:space="preserve">2/5</w:t>
      </w:r>
      <w:r w:rsidDel="00000000" w:rsidR="00000000" w:rsidRPr="00000000">
        <w:drawing>
          <wp:anchor allowOverlap="1" behindDoc="0" distB="0" distT="0" distL="71755" distR="144145" hidden="0" layoutInCell="1" locked="0" relativeHeight="0" simplePos="0">
            <wp:simplePos x="0" y="0"/>
            <wp:positionH relativeFrom="column">
              <wp:posOffset>40006</wp:posOffset>
            </wp:positionH>
            <wp:positionV relativeFrom="paragraph">
              <wp:posOffset>-28574</wp:posOffset>
            </wp:positionV>
            <wp:extent cx="453390" cy="453390"/>
            <wp:effectExtent b="0" l="0" r="0" t="0"/>
            <wp:wrapSquare wrapText="bothSides" distB="0" distT="0" distL="71755" distR="144145"/>
            <wp:docPr id="29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3390" cy="4533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C">
      <w:pPr>
        <w:tabs>
          <w:tab w:val="left" w:leader="none" w:pos="0"/>
          <w:tab w:val="left" w:leader="none" w:pos="6"/>
          <w:tab w:val="left" w:leader="none" w:pos="17"/>
        </w:tabs>
        <w:spacing w:after="0" w:before="0" w:lineRule="auto"/>
        <w:ind w:left="0" w:right="0" w:firstLine="0"/>
        <w:jc w:val="left"/>
        <w:rPr>
          <w:rFonts w:ascii="Arial" w:cs="Arial" w:eastAsia="Arial" w:hAnsi="Arial"/>
          <w:b w:val="1"/>
          <w:color w:val="5a5a5a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color w:val="5a5a5a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1"/>
          <w:i w:val="0"/>
          <w:color w:val="5a5a5a"/>
          <w:sz w:val="20"/>
          <w:szCs w:val="20"/>
          <w:rtl w:val="0"/>
        </w:rPr>
        <w:t xml:space="preserve">II)  </w:t>
      </w:r>
      <w:r w:rsidDel="00000000" w:rsidR="00000000" w:rsidRPr="00000000">
        <w:rPr>
          <w:rFonts w:ascii="Arial" w:cs="Arial" w:eastAsia="Arial" w:hAnsi="Arial"/>
          <w:b w:val="1"/>
          <w:color w:val="5a5a5a"/>
          <w:sz w:val="20"/>
          <w:szCs w:val="20"/>
          <w:rtl w:val="0"/>
        </w:rPr>
        <w:t xml:space="preserve">  </w:t>
      </w:r>
      <w:r w:rsidDel="00000000" w:rsidR="00000000" w:rsidRPr="00000000">
        <w:rPr>
          <w:rFonts w:ascii="Arial" w:cs="Arial" w:eastAsia="Arial" w:hAnsi="Arial"/>
          <w:b w:val="1"/>
          <w:i w:val="0"/>
          <w:color w:val="5a5a5a"/>
          <w:sz w:val="20"/>
          <w:szCs w:val="20"/>
          <w:rtl w:val="0"/>
        </w:rPr>
        <w:t xml:space="preserve">Posibles soluciones </w:t>
      </w:r>
      <w:r w:rsidDel="00000000" w:rsidR="00000000" w:rsidRPr="00000000">
        <w:rPr>
          <w:rFonts w:ascii="Arial" w:cs="Arial" w:eastAsia="Arial" w:hAnsi="Arial"/>
          <w:b w:val="1"/>
          <w:color w:val="5a5a5a"/>
          <w:sz w:val="20"/>
          <w:szCs w:val="20"/>
          <w:rtl w:val="0"/>
        </w:rPr>
        <w:t xml:space="preserve">4/5</w:t>
      </w:r>
    </w:p>
    <w:p w:rsidR="00000000" w:rsidDel="00000000" w:rsidP="00000000" w:rsidRDefault="00000000" w:rsidRPr="00000000" w14:paraId="0000001D">
      <w:pPr>
        <w:tabs>
          <w:tab w:val="left" w:leader="none" w:pos="0"/>
          <w:tab w:val="left" w:leader="none" w:pos="6"/>
          <w:tab w:val="left" w:leader="none" w:pos="17"/>
        </w:tabs>
        <w:spacing w:after="0" w:before="0" w:lineRule="auto"/>
        <w:ind w:left="0" w:right="0" w:firstLine="0"/>
        <w:jc w:val="left"/>
        <w:rPr/>
      </w:pPr>
      <w:r w:rsidDel="00000000" w:rsidR="00000000" w:rsidRPr="00000000">
        <w:rPr>
          <w:rFonts w:ascii="Arial" w:cs="Arial" w:eastAsia="Arial" w:hAnsi="Arial"/>
          <w:b w:val="1"/>
          <w:i w:val="0"/>
          <w:color w:val="5a5a5a"/>
          <w:sz w:val="20"/>
          <w:szCs w:val="20"/>
          <w:rtl w:val="0"/>
        </w:rPr>
        <w:t xml:space="preserve">III)   Referencia personal 2/5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leader="none" w:pos="0"/>
          <w:tab w:val="left" w:leader="none" w:pos="6"/>
          <w:tab w:val="left" w:leader="none" w:pos="17"/>
        </w:tabs>
        <w:spacing w:after="0" w:before="0" w:lineRule="auto"/>
        <w:ind w:left="0" w:right="0" w:firstLine="0"/>
        <w:jc w:val="left"/>
        <w:rPr>
          <w:rFonts w:ascii="Arial" w:cs="Arial" w:eastAsia="Arial" w:hAnsi="Arial"/>
          <w:b w:val="1"/>
          <w:i w:val="0"/>
          <w:color w:val="5a5a5a"/>
          <w:sz w:val="20"/>
          <w:szCs w:val="20"/>
        </w:rPr>
        <w:sectPr>
          <w:type w:val="continuous"/>
          <w:pgSz w:h="16838" w:w="11906" w:orient="portrait"/>
          <w:pgMar w:bottom="1133" w:top="1416" w:left="1020" w:right="1020" w:header="850" w:footer="681"/>
          <w:cols w:equalWidth="0" w:num="2">
            <w:col w:space="680" w:w="4593"/>
            <w:col w:space="0" w:w="4593"/>
          </w:cols>
          <w:titlePg w:val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889e33" w:val="clear"/>
        <w:spacing w:after="170" w:before="113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  <w:rtl w:val="0"/>
        </w:rPr>
        <w:t xml:space="preserve"> Conocimientos previos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227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Conocimientos previos recomendados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454" w:right="0" w:hanging="227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Conceptos básicos de economía en las tarjetas (crédito, empresa, renta, etc.). 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227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227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Métodos posibles por adelantado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454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889e33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889e33"/>
          <w:sz w:val="20"/>
          <w:szCs w:val="20"/>
          <w:u w:val="none"/>
          <w:shd w:fill="auto" w:val="clear"/>
          <w:vertAlign w:val="baseline"/>
          <w:rtl w:val="0"/>
        </w:rPr>
        <w:t xml:space="preserve">Presentación sobre la Economía del Bien Común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454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889e33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889e33"/>
          <w:sz w:val="20"/>
          <w:szCs w:val="20"/>
          <w:u w:val="none"/>
          <w:shd w:fill="auto" w:val="clear"/>
          <w:vertAlign w:val="baseline"/>
          <w:rtl w:val="0"/>
        </w:rPr>
        <w:t xml:space="preserve">Juego de simulación de economía de mercado</w:t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454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889e33"/>
          <w:sz w:val="20"/>
          <w:szCs w:val="20"/>
          <w:u w:val="none"/>
          <w:shd w:fill="auto" w:val="clear"/>
          <w:vertAlign w:val="baseline"/>
          <w:rtl w:val="0"/>
        </w:rPr>
        <w:t xml:space="preserve">Ejemplos de buenas prácticas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889e33" w:val="clear"/>
        <w:spacing w:after="170" w:before="113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  <w:rtl w:val="0"/>
        </w:rPr>
        <w:t xml:space="preserve"> Preparación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454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Imprime un juego de parejas de tarjetas por las dos caras y en color para cada grupo. Recórtalas y plastifícalas para utilizarlas varias veces si es necesario. 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454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Coloca una mesa para cada grupo con suficiente distancia entre ellos y las demás mesas para que puedan hablar con facilidad. 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57" w:before="0" w:line="288" w:lineRule="auto"/>
        <w:ind w:left="454" w:right="0" w:hanging="227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Si es necesario, elimine las tarjetas incomprensibles. </w:t>
      </w:r>
    </w:p>
    <w:p w:rsidR="00000000" w:rsidDel="00000000" w:rsidP="00000000" w:rsidRDefault="00000000" w:rsidRPr="00000000" w14:paraId="0000002B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jc w:val="left"/>
        <w:rPr/>
        <w:sectPr>
          <w:type w:val="continuous"/>
          <w:pgSz w:h="16838" w:w="11906" w:orient="portrait"/>
          <w:pgMar w:bottom="1133" w:top="1416" w:left="1020" w:right="1020" w:header="850" w:footer="681"/>
          <w:cols w:equalWidth="0" w:num="2">
            <w:col w:space="680" w:w="4593"/>
            <w:col w:space="0" w:w="4593"/>
          </w:cols>
          <w:titlePg w:val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889e33" w:val="clear"/>
        <w:spacing w:after="170" w:before="113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8"/>
          <w:szCs w:val="28"/>
          <w:u w:val="none"/>
          <w:shd w:fill="auto" w:val="clear"/>
          <w:vertAlign w:val="baseline"/>
          <w:rtl w:val="0"/>
        </w:rPr>
        <w:t xml:space="preserve"> Procedimiento 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Observación preliminar general: el presente programa es principalmente un hilo rojo relacionado con el contenido. El diseño metodológico, el enfoque de los contenidos y las especificaciones temporales pueden o deben variar en función de los participantes, la moderación y el calendario. </w:t>
      </w:r>
      <w:r w:rsidDel="00000000" w:rsidR="00000000" w:rsidRPr="00000000">
        <w:drawing>
          <wp:anchor allowOverlap="1" behindDoc="0" distB="0" distT="0" distL="0" distR="144145" hidden="0" layoutInCell="1" locked="0" relativeHeight="0" simplePos="0">
            <wp:simplePos x="0" y="0"/>
            <wp:positionH relativeFrom="column">
              <wp:posOffset>-3174</wp:posOffset>
            </wp:positionH>
            <wp:positionV relativeFrom="paragraph">
              <wp:posOffset>-27304</wp:posOffset>
            </wp:positionV>
            <wp:extent cx="564515" cy="564515"/>
            <wp:effectExtent b="0" l="0" r="0" t="0"/>
            <wp:wrapSquare wrapText="bothSides" distB="0" distT="0" distL="0" distR="144145"/>
            <wp:docPr id="3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4515" cy="56451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66.0" w:type="dxa"/>
        <w:jc w:val="left"/>
        <w:tblLayout w:type="fixed"/>
        <w:tblLook w:val="0000"/>
      </w:tblPr>
      <w:tblGrid>
        <w:gridCol w:w="674"/>
        <w:gridCol w:w="6127"/>
        <w:gridCol w:w="1474"/>
        <w:gridCol w:w="1591"/>
        <w:tblGridChange w:id="0">
          <w:tblGrid>
            <w:gridCol w:w="674"/>
            <w:gridCol w:w="6127"/>
            <w:gridCol w:w="1474"/>
            <w:gridCol w:w="1591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eeeeee" w:space="0" w:sz="4" w:val="single"/>
              <w:left w:color="eeeeee" w:space="0" w:sz="4" w:val="single"/>
              <w:bottom w:color="889e33" w:space="0" w:sz="6" w:val="single"/>
            </w:tcBorders>
            <w:shd w:fill="009da5" w:val="clea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8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Tiempo</w:t>
            </w:r>
          </w:p>
        </w:tc>
        <w:tc>
          <w:tcPr>
            <w:tcBorders>
              <w:top w:color="eeeeee" w:space="0" w:sz="4" w:val="single"/>
              <w:left w:color="eeeeee" w:space="0" w:sz="4" w:val="single"/>
              <w:bottom w:color="889e33" w:space="0" w:sz="6" w:val="single"/>
            </w:tcBorders>
            <w:shd w:fill="009da5" w:val="clear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8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Medidas</w:t>
            </w:r>
          </w:p>
        </w:tc>
        <w:tc>
          <w:tcPr>
            <w:tcBorders>
              <w:top w:color="eeeeee" w:space="0" w:sz="4" w:val="single"/>
              <w:left w:color="eeeeee" w:space="0" w:sz="4" w:val="single"/>
              <w:bottom w:color="889e33" w:space="0" w:sz="6" w:val="single"/>
            </w:tcBorders>
            <w:shd w:fill="009da5" w:val="clear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8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Formato social</w:t>
            </w:r>
          </w:p>
        </w:tc>
        <w:tc>
          <w:tcPr>
            <w:tcBorders>
              <w:top w:color="eeeeee" w:space="0" w:sz="4" w:val="single"/>
              <w:left w:color="eeeeee" w:space="0" w:sz="4" w:val="single"/>
              <w:bottom w:color="889e33" w:space="0" w:sz="6" w:val="single"/>
              <w:right w:color="eeeeee" w:space="0" w:sz="4" w:val="single"/>
            </w:tcBorders>
            <w:shd w:fill="009da5" w:val="clea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8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Materiales</w:t>
            </w:r>
          </w:p>
        </w:tc>
      </w:tr>
      <w:tr>
        <w:trPr>
          <w:cantSplit w:val="0"/>
          <w:trHeight w:val="455" w:hRule="atLeast"/>
          <w:tblHeader w:val="0"/>
        </w:trPr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3'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Divide los grupos (2-5 pers.) y explica el juego.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En gran grupo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de entrada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  <w:right w:color="eeeeee" w:space="0" w:sz="4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Tarjetas</w:t>
            </w:r>
          </w:p>
        </w:tc>
      </w:tr>
      <w:tr>
        <w:trPr>
          <w:cantSplit w:val="0"/>
          <w:tblHeader w:val="0"/>
        </w:trPr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15'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Los participantes dan la vuelta a dos tarjetas cada vez y las leen en voz alta:  </w:t>
            </w:r>
          </w:p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1"/>
              <w:numPr>
                <w:ilvl w:val="1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88" w:lineRule="auto"/>
              <w:ind w:left="454" w:right="0" w:hanging="227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primero, una ficha del sistema económico actual (rojo) </w:t>
            </w:r>
          </w:p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1"/>
              <w:numPr>
                <w:ilvl w:val="1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88" w:lineRule="auto"/>
              <w:ind w:left="454" w:right="0" w:hanging="227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a continuación, una tarjeta con una propuesta alternativa de la E</w:t>
            </w: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BC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(azul). </w:t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Juntos, los grupos consideran y discuten si son una pareja (contrastada). </w:t>
            </w:r>
          </w:p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1"/>
              <w:numPr>
                <w:ilvl w:val="1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88" w:lineRule="auto"/>
              <w:ind w:left="454" w:right="0" w:hanging="227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¿Sí? A continuación, la pareja se coloca una al lado de la otra, bien visibles. </w:t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1"/>
              <w:numPr>
                <w:ilvl w:val="1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88" w:lineRule="auto"/>
              <w:ind w:left="454" w:right="0" w:hanging="227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¿No? Las dos cartas se dejan boca arriba y es el turno del siguiente participante. </w:t>
            </w:r>
          </w:p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88" w:lineRule="auto"/>
              <w:ind w:left="227" w:right="0" w:hanging="227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Por supuesto, los grupos pueden comparar/contrastar las cartas recién reveladas con las mostradas anteriormente. En cuanto encuentren un par, deben colocarlas boca arriba a un lado.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Trabajo en grupo (</w:t>
            </w: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TG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)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  <w:right w:color="eeeeee" w:space="0" w:sz="4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Tarjetas</w:t>
            </w:r>
          </w:p>
        </w:tc>
      </w:tr>
      <w:tr>
        <w:trPr>
          <w:cantSplit w:val="0"/>
          <w:tblHeader w:val="0"/>
        </w:trPr>
        <w:tc>
          <w:tcPr>
            <w:gridSpan w:val="4"/>
            <w:tcBorders>
              <w:left w:color="eeeeee" w:space="0" w:sz="4" w:val="single"/>
              <w:bottom w:color="889e33" w:space="0" w:sz="6" w:val="single"/>
              <w:right w:color="eeeeee" w:space="0" w:sz="4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b2b2b2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b2b2b2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Consejos para la experiencia:</w:t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1"/>
              <w:numPr>
                <w:ilvl w:val="1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454" w:right="0" w:hanging="227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b2b2b2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b2b2b2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Encontrar las </w:t>
            </w:r>
            <w:r w:rsidDel="00000000" w:rsidR="00000000" w:rsidRPr="00000000">
              <w:rPr>
                <w:rFonts w:ascii="Arial" w:cs="Arial" w:eastAsia="Arial" w:hAnsi="Arial"/>
                <w:color w:val="b2b2b2"/>
                <w:sz w:val="20"/>
                <w:szCs w:val="20"/>
                <w:rtl w:val="0"/>
              </w:rPr>
              <w:t xml:space="preserve">parejas de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b2b2b2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contrapartidas es (en comparación con la pura memoria de imágenes) una tarea exigente que requiere mucha concentración. Es útil apoyar a cada grupo con preguntas y moderación para que no sólo se filtren los términos clave, sino también para estimular a todos los participantes a seguir el contenido.</w:t>
            </w:r>
          </w:p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1"/>
              <w:numPr>
                <w:ilvl w:val="1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454" w:right="0" w:hanging="227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b2b2b2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b2b2b2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Una vez descubierta la primera carta (= sistema económico actual), ha resultado especialmente útil preguntar al grupo cuál creen que sería la contrapartida adecuada en </w:t>
            </w:r>
            <w:r w:rsidDel="00000000" w:rsidR="00000000" w:rsidRPr="00000000">
              <w:rPr>
                <w:rFonts w:ascii="Arial" w:cs="Arial" w:eastAsia="Arial" w:hAnsi="Arial"/>
                <w:color w:val="b2b2b2"/>
                <w:sz w:val="20"/>
                <w:szCs w:val="20"/>
                <w:rtl w:val="0"/>
              </w:rPr>
              <w:t xml:space="preserve">la EBC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b2b2b2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y sólo entonces dejarles descubrir la siguiente carta. Este paso anima al grupo a pensar por sí mismo. </w:t>
            </w:r>
          </w:p>
        </w:tc>
      </w:tr>
      <w:tr>
        <w:trPr>
          <w:cantSplit w:val="0"/>
          <w:tblHeader w:val="0"/>
        </w:trPr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5 '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Reflexionar y debatir sobre los puntos clave del ECG: </w:t>
            </w:r>
          </w:p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¿Qué puntos clave le parecen especialmente interesantes? </w:t>
            </w:r>
          </w:p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¿Qué puntos clave le parecen especialmente importantes?</w:t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¿Qué puntos clave le preocupan?</w:t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¿Qué puntos clave son fáciles de aplicar y cuáles son difíciles?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D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ebate en </w:t>
            </w: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gran grupo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  <w:right w:color="eeeeee" w:space="0" w:sz="4" w:val="single"/>
            </w:tcBorders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Tarjetas</w:t>
            </w:r>
          </w:p>
        </w:tc>
      </w:tr>
      <w:tr>
        <w:trPr>
          <w:cantSplit w:val="0"/>
          <w:trHeight w:val="2923.8046875" w:hRule="atLeast"/>
          <w:tblHeader w:val="0"/>
        </w:trPr>
        <w:tc>
          <w:tcPr>
            <w:tcBorders>
              <w:left w:color="eeeeee" w:space="0" w:sz="4" w:val="single"/>
              <w:bottom w:color="889e33" w:space="0" w:sz="6" w:val="single"/>
            </w:tcBorders>
            <w:shd w:fill="eeeeee" w:val="clear"/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20'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</w:tcBorders>
            <w:shd w:fill="eeeeee" w:val="clear"/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+ Refuerzo opcional: </w:t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Responda a estas preguntas de reflexión de forma interactiva. Por ejemplo, los participantes tienen que clasificar los puntos clave de</w:t>
            </w: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 la EBC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según los siguientes aspectos opcionales, es decir, por orden de importancia: </w:t>
            </w:r>
          </w:p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Importancia</w:t>
            </w:r>
          </w:p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Viabilidad</w:t>
            </w:r>
          </w:p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Acuerdo personal </w:t>
            </w:r>
          </w:p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720" w:right="0" w:hanging="36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... </w:t>
            </w:r>
          </w:p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Discuta estos puntos después o durante el debate.</w:t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</w:tcBorders>
            <w:shd w:fill="eeeeee" w:val="clear"/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color w:val="5a5a5a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Trabajo en </w:t>
            </w: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gran grupo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color w:val="5a5a5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eeeeee" w:space="0" w:sz="4" w:val="single"/>
              <w:bottom w:color="889e33" w:space="0" w:sz="6" w:val="single"/>
              <w:right w:color="eeeeee" w:space="0" w:sz="4" w:val="single"/>
            </w:tcBorders>
            <w:shd w:fill="eeeeee" w:val="clear"/>
            <w:tcMar>
              <w:top w:w="57.0" w:type="dxa"/>
              <w:left w:w="113.0" w:type="dxa"/>
              <w:bottom w:w="57.0" w:type="dxa"/>
              <w:right w:w="113.0" w:type="dxa"/>
            </w:tcMar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57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Tarjetas</w:t>
            </w:r>
          </w:p>
        </w:tc>
      </w:tr>
    </w:tbl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889e33" w:val="clear"/>
        <w:spacing w:after="170" w:before="113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</w:rPr>
        <w:sectPr>
          <w:headerReference r:id="rId17" w:type="default"/>
          <w:headerReference r:id="rId18" w:type="first"/>
          <w:footerReference r:id="rId19" w:type="default"/>
          <w:footerReference r:id="rId20" w:type="first"/>
          <w:type w:val="continuous"/>
          <w:pgSz w:h="16838" w:w="11906" w:orient="portrait"/>
          <w:pgMar w:bottom="1133" w:top="1416" w:left="1020" w:right="1020" w:header="850" w:footer="681"/>
          <w:titlePg w:val="1"/>
        </w:sectPr>
      </w:pPr>
      <w:r w:rsidDel="00000000" w:rsidR="00000000" w:rsidRPr="00000000"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8"/>
          <w:szCs w:val="28"/>
          <w:u w:val="none"/>
          <w:shd w:fill="auto" w:val="clear"/>
          <w:vertAlign w:val="baseline"/>
          <w:rtl w:val="0"/>
        </w:rPr>
        <w:t xml:space="preserve"> Variaciones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889e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889e33"/>
          <w:sz w:val="22"/>
          <w:szCs w:val="22"/>
          <w:u w:val="none"/>
          <w:shd w:fill="auto" w:val="clear"/>
          <w:vertAlign w:val="baseline"/>
          <w:rtl w:val="0"/>
        </w:rPr>
        <w:t xml:space="preserve">Número de tarjetas </w:t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En función del tiempo disponible, los conocimientos previos y el nivel de comprensión de los participantes, retira algunas cartas del juego de antemano o añádelas.</w:t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889e33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889e33"/>
          <w:sz w:val="22"/>
          <w:szCs w:val="22"/>
          <w:u w:val="none"/>
          <w:shd w:fill="auto" w:val="clear"/>
          <w:vertAlign w:val="baseline"/>
          <w:rtl w:val="0"/>
        </w:rPr>
        <w:t xml:space="preserve">Dar la vuelta a todas las cartas inmediatamente</w:t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  <w:sectPr>
          <w:type w:val="continuous"/>
          <w:pgSz w:h="16838" w:w="11906" w:orient="portrait"/>
          <w:pgMar w:bottom="1133" w:top="1416" w:left="1020" w:right="1020" w:header="850" w:footer="681"/>
          <w:cols w:equalWidth="0" w:num="2">
            <w:col w:space="680" w:w="4593"/>
            <w:col w:space="0" w:w="4593"/>
          </w:cols>
          <w:titlePg w:val="1"/>
        </w:sect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En función del tiempo disponible, los conocimientos previos y el nivel de comprensión del participante, puede revelar todas las cartas inmediatamente. Entonces, la tarea consistirá únicamente en encontrar y ordenar las parejas. Como variante intermedia, revele sólo todas las tarjetas de "Economía hoy" y los puntos clave de</w:t>
      </w:r>
      <w:r w:rsidDel="00000000" w:rsidR="00000000" w:rsidRPr="00000000">
        <w:rPr>
          <w:rFonts w:ascii="Arial" w:cs="Arial" w:eastAsia="Arial" w:hAnsi="Arial"/>
          <w:color w:val="5a5a5a"/>
          <w:sz w:val="20"/>
          <w:szCs w:val="20"/>
          <w:rtl w:val="0"/>
        </w:rPr>
        <w:t xml:space="preserve"> la EBC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,  pieza por pieza. </w:t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889e33" w:val="clear"/>
        <w:spacing w:after="170" w:before="113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</w:rPr>
        <w:sectPr>
          <w:headerReference r:id="rId21" w:type="default"/>
          <w:headerReference r:id="rId22" w:type="first"/>
          <w:footerReference r:id="rId23" w:type="default"/>
          <w:footerReference r:id="rId24" w:type="first"/>
          <w:type w:val="continuous"/>
          <w:pgSz w:h="16838" w:w="11906" w:orient="portrait"/>
          <w:pgMar w:bottom="1133" w:top="1416" w:left="1020" w:right="1020" w:header="850" w:footer="681"/>
          <w:titlePg w:val="1"/>
        </w:sectPr>
      </w:pPr>
      <w:r w:rsidDel="00000000" w:rsidR="00000000" w:rsidRPr="00000000"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8"/>
          <w:szCs w:val="28"/>
          <w:u w:val="none"/>
          <w:shd w:fill="auto" w:val="clear"/>
          <w:vertAlign w:val="baseline"/>
          <w:rtl w:val="0"/>
        </w:rPr>
        <w:t xml:space="preserve"> Métodos de conexión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1"/>
          <w:strike w:val="0"/>
          <w:color w:val="ffffff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4593.0" w:type="dxa"/>
        <w:jc w:val="left"/>
        <w:tblLayout w:type="fixed"/>
        <w:tblLook w:val="0000"/>
      </w:tblPr>
      <w:tblGrid>
        <w:gridCol w:w="4593"/>
        <w:tblGridChange w:id="0">
          <w:tblGrid>
            <w:gridCol w:w="4593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dddddd" w:space="0" w:sz="4" w:val="single"/>
              <w:left w:color="dddddd" w:space="0" w:sz="4" w:val="single"/>
              <w:bottom w:color="dddddd" w:space="0" w:sz="4" w:val="single"/>
              <w:right w:color="dddddd" w:space="0" w:sz="4" w:val="single"/>
            </w:tcBorders>
            <w:shd w:fill="889e33" w:val="clear"/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8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Creación de consenso sistémico</w:t>
            </w:r>
          </w:p>
        </w:tc>
      </w:tr>
      <w:tr>
        <w:trPr>
          <w:cantSplit w:val="0"/>
          <w:tblHeader w:val="0"/>
        </w:trPr>
        <w:tc>
          <w:tcPr>
            <w:tcBorders>
              <w:left w:color="dddddd" w:space="0" w:sz="4" w:val="single"/>
              <w:bottom w:color="dddddd" w:space="0" w:sz="4" w:val="single"/>
              <w:right w:color="dddddd" w:space="0" w:sz="4" w:val="single"/>
            </w:tcBorders>
            <w:tcMar>
              <w:top w:w="55.0" w:type="dxa"/>
              <w:left w:w="55.0" w:type="dxa"/>
              <w:bottom w:w="55.0" w:type="dxa"/>
              <w:right w:w="55.0" w:type="dxa"/>
            </w:tcMar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42" w:before="0" w:line="288" w:lineRule="auto"/>
              <w:ind w:left="0" w:right="0" w:firstLine="0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Ponga a prueba las cuestiones clave específicas (por ejemplo, limitar las disparidades extremas de ingresos) con este innovador método de toma de </w:t>
            </w:r>
            <w:r w:rsidDel="00000000" w:rsidR="00000000" w:rsidRPr="00000000">
              <w:rPr>
                <w:rFonts w:ascii="Arial" w:cs="Arial" w:eastAsia="Arial" w:hAnsi="Arial"/>
                <w:color w:val="5a5a5a"/>
                <w:sz w:val="20"/>
                <w:szCs w:val="20"/>
                <w:rtl w:val="0"/>
              </w:rPr>
              <w:t xml:space="preserve">decisiones. Así podrá medir la resistencia a cada propuesta diferente.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dddddd" w:space="0" w:sz="4" w:val="single"/>
              <w:left w:color="dddddd" w:space="0" w:sz="4" w:val="single"/>
              <w:bottom w:color="dddddd" w:space="0" w:sz="4" w:val="single"/>
              <w:right w:color="dddddd" w:space="0" w:sz="4" w:val="single"/>
            </w:tcBorders>
            <w:shd w:fill="889e33" w:val="clear"/>
          </w:tcPr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88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fffff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Juego de rol Economía interconectada</w:t>
            </w:r>
          </w:p>
        </w:tc>
      </w:tr>
      <w:tr>
        <w:trPr>
          <w:cantSplit w:val="0"/>
          <w:tblHeader w:val="0"/>
        </w:trPr>
        <w:tc>
          <w:tcPr>
            <w:tcBorders>
              <w:left w:color="dddddd" w:space="0" w:sz="4" w:val="single"/>
              <w:bottom w:color="dddddd" w:space="0" w:sz="4" w:val="single"/>
              <w:right w:color="dddddd" w:space="0" w:sz="4" w:val="single"/>
            </w:tcBorders>
            <w:tcMar>
              <w:top w:w="55.0" w:type="dxa"/>
              <w:left w:w="55.0" w:type="dxa"/>
              <w:bottom w:w="55.0" w:type="dxa"/>
              <w:right w:w="55.0" w:type="dxa"/>
            </w:tcMar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42" w:before="0" w:line="288" w:lineRule="auto"/>
              <w:ind w:left="0" w:right="0" w:firstLine="0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a5a5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95959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Sitúe diferentes agentes económicos en la sala. Examine sus relaciones dinámicas en un sistema orientado al beneficio. Por último, considere y discuta también los cambios en </w:t>
            </w:r>
            <w:r w:rsidDel="00000000" w:rsidR="00000000" w:rsidRPr="00000000">
              <w:rPr>
                <w:rFonts w:ascii="Arial" w:cs="Arial" w:eastAsia="Arial" w:hAnsi="Arial"/>
                <w:color w:val="595959"/>
                <w:sz w:val="20"/>
                <w:szCs w:val="20"/>
                <w:rtl w:val="0"/>
              </w:rPr>
              <w:t xml:space="preserve">la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95959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E</w:t>
            </w:r>
            <w:r w:rsidDel="00000000" w:rsidR="00000000" w:rsidRPr="00000000">
              <w:rPr>
                <w:rFonts w:ascii="Arial" w:cs="Arial" w:eastAsia="Arial" w:hAnsi="Arial"/>
                <w:color w:val="595959"/>
                <w:sz w:val="20"/>
                <w:szCs w:val="20"/>
                <w:rtl w:val="0"/>
              </w:rPr>
              <w:t xml:space="preserve">B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595959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A">
      <w:pPr>
        <w:rPr/>
        <w:sectPr>
          <w:type w:val="continuous"/>
          <w:pgSz w:h="16838" w:w="11906" w:orient="portrait"/>
          <w:pgMar w:bottom="1133" w:top="1416" w:left="1020" w:right="1020" w:header="850" w:footer="681"/>
          <w:cols w:equalWidth="0" w:num="2">
            <w:col w:space="680" w:w="4593"/>
            <w:col w:space="0" w:w="4593"/>
          </w:cols>
          <w:titlePg w:val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ff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595959"/>
          <w:sz w:val="20"/>
          <w:szCs w:val="20"/>
          <w:u w:val="none"/>
          <w:shd w:fill="auto" w:val="clear"/>
          <w:vertAlign w:val="baseline"/>
          <w:rtl w:val="0"/>
        </w:rPr>
        <w:t xml:space="preserve">Puede encontrar todos los métodos educativos publicados sobre la Economía del Bien Común </w:t>
      </w:r>
      <w:hyperlink r:id="rId25">
        <w:r w:rsidDel="00000000" w:rsidR="00000000" w:rsidRPr="00000000">
          <w:rPr>
            <w:rFonts w:ascii="Arial" w:cs="Arial" w:eastAsia="Arial" w:hAnsi="Arial"/>
            <w:b w:val="1"/>
            <w:i w:val="0"/>
            <w:smallCaps w:val="0"/>
            <w:strike w:val="0"/>
            <w:color w:val="000080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aquí</w:t>
        </w:r>
      </w:hyperlink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595959"/>
          <w:sz w:val="20"/>
          <w:szCs w:val="20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5a5a5a"/>
          <w:sz w:val="20"/>
          <w:szCs w:val="20"/>
          <w:u w:val="none"/>
          <w:shd w:fill="auto" w:val="clear"/>
          <w:vertAlign w:val="baseline"/>
          <w:rtl w:val="0"/>
        </w:rPr>
        <w:t xml:space="preserve">Estaremos encantados de recibir sus preguntas, experiencias y sugerencias. Utilice el formulario de comentarios de nuestro sitio web o escriba directamente a: education@ecogood.org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0" w:hanging="340"/>
        <w:jc w:val="both"/>
        <w:rPr>
          <w:rFonts w:ascii="Liberation Serif" w:cs="Liberation Serif" w:eastAsia="Liberation Serif" w:hAnsi="Liberation Serif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867.0" w:type="dxa"/>
        <w:jc w:val="left"/>
        <w:tblInd w:w="-10.0" w:type="dxa"/>
        <w:tblLayout w:type="fixed"/>
        <w:tblLook w:val="0000"/>
      </w:tblPr>
      <w:tblGrid>
        <w:gridCol w:w="9867"/>
        <w:tblGridChange w:id="0">
          <w:tblGrid>
            <w:gridCol w:w="9867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dddddd" w:space="0" w:sz="8" w:val="single"/>
              <w:left w:color="dddddd" w:space="0" w:sz="8" w:val="single"/>
              <w:bottom w:color="dddddd" w:space="0" w:sz="8" w:val="single"/>
              <w:right w:color="dddddd" w:space="0" w:sz="8" w:val="single"/>
            </w:tcBorders>
          </w:tcPr>
          <w:p w:rsidR="00000000" w:rsidDel="00000000" w:rsidP="00000000" w:rsidRDefault="00000000" w:rsidRPr="00000000" w14:paraId="00000079">
            <w:pPr>
              <w:spacing w:after="113" w:before="0" w:lineRule="auto"/>
              <w:jc w:val="left"/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Derechos del usuario: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 Este producto está bajo "Creative Commons BY-NC-SA 4.0. Licencia internacional</w:t>
            </w:r>
            <w:hyperlink r:id="rId26">
              <w:r w:rsidDel="00000000" w:rsidR="00000000" w:rsidRPr="00000000">
                <w:rPr>
                  <w:rFonts w:ascii="Arial" w:cs="Arial" w:eastAsia="Arial" w:hAnsi="Arial"/>
                  <w:b w:val="0"/>
                  <w:i w:val="0"/>
                  <w:color w:val="5a5a5a"/>
                  <w:sz w:val="18"/>
                  <w:szCs w:val="18"/>
                  <w:u w:val="single"/>
                  <w:rtl w:val="0"/>
                </w:rPr>
                <w:t xml:space="preserve">": </w:t>
              </w:r>
            </w:hyperlink>
            <w:hyperlink r:id="rId27">
              <w:r w:rsidDel="00000000" w:rsidR="00000000" w:rsidRPr="00000000">
                <w:rPr>
                  <w:rFonts w:ascii="Arial" w:cs="Arial" w:eastAsia="Arial" w:hAnsi="Arial"/>
                  <w:b w:val="0"/>
                  <w:i w:val="0"/>
                  <w:color w:val="1155cc"/>
                  <w:sz w:val="18"/>
                  <w:szCs w:val="18"/>
                  <w:u w:val="single"/>
                  <w:rtl w:val="0"/>
                </w:rPr>
                <w:t xml:space="preserve">https://creativecommons.org/licenses/by-nc-sa/4.0/</w:t>
              </w:r>
            </w:hyperlink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color w:val="5a5a5a"/>
                <w:sz w:val="18"/>
                <w:szCs w:val="18"/>
                <w:rtl w:val="0"/>
              </w:rPr>
              <w:t xml:space="preserve">Esto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 significa que usted puede reproducir, distribuir, remezclar y modificar el material y construir sobre él bajo las siguientes condiciones: Atribución al editor, indicación de las modificaciones, ningún uso comercial, distribución bajo las mismas condiciones de la licencia. </w:t>
              <w:br w:type="textWrapping"/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Versión: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1.0 | 08/2021 | En línea en: </w:t>
            </w:r>
            <w:hyperlink r:id="rId28">
              <w:r w:rsidDel="00000000" w:rsidR="00000000" w:rsidRPr="00000000">
                <w:rPr>
                  <w:rFonts w:ascii="Arial" w:cs="Arial" w:eastAsia="Arial" w:hAnsi="Arial"/>
                  <w:b w:val="0"/>
                  <w:i w:val="0"/>
                  <w:color w:val="5a5a5a"/>
                  <w:sz w:val="18"/>
                  <w:szCs w:val="18"/>
                  <w:u w:val="single"/>
                  <w:rtl w:val="0"/>
                </w:rPr>
                <w:t xml:space="preserve">https://www.ecogood.org/apply-ecg/educational-institutions/</w:t>
              </w:r>
            </w:hyperlink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br w:type="textWrapping"/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Editor: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Education Hub </w:t>
              <w:br w:type="textWrapping"/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Financiado por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: </w:t>
              <w:br w:type="textWrapping"/>
              <w:t xml:space="preserve">Eine Welt Netz NRW e.V. im Rahmen von Bildung trifft Entwicklung </w:t>
              <w:br w:type="textWrapping"/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Financiación: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Engagement Global mit Mitteln des Bundesministeriums für wirtschaftliche Zusammenarbeit und Entwicklung </w:t>
              <w:br w:type="textWrapping"/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Entidad jurídica: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International Federation for the Economy for the Common Good e.V. (sin ánimo de lucro) </w:t>
              <w:br w:type="textWrapping"/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Info: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www.ecogood.org | Contacto: </w:t>
            </w:r>
            <w:hyperlink r:id="rId29">
              <w:r w:rsidDel="00000000" w:rsidR="00000000" w:rsidRPr="00000000">
                <w:rPr>
                  <w:rFonts w:ascii="Arial" w:cs="Arial" w:eastAsia="Arial" w:hAnsi="Arial"/>
                  <w:b w:val="0"/>
                  <w:i w:val="0"/>
                  <w:color w:val="5a5a5a"/>
                  <w:sz w:val="18"/>
                  <w:szCs w:val="18"/>
                  <w:u w:val="single"/>
                  <w:rtl w:val="0"/>
                </w:rPr>
                <w:t xml:space="preserve">education@ecogood.org</w:t>
              </w:r>
            </w:hyperlink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br w:type="textWrapping"/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Apoyo: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 Nos alegramos de que apoye nuestro trabajo con un donativo. </w:t>
              <w:br w:type="textWrapping"/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color w:val="5a5a5a"/>
                <w:sz w:val="18"/>
                <w:szCs w:val="18"/>
                <w:rtl w:val="0"/>
              </w:rPr>
              <w:t xml:space="preserve">Cuenta de donativos: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color w:val="5a5a5a"/>
                <w:sz w:val="18"/>
                <w:szCs w:val="18"/>
                <w:rtl w:val="0"/>
              </w:rPr>
              <w:t xml:space="preserve">International Federation for the Economy for the Common Good e.V. | Palabra clave: Education Hub </w:t>
              <w:br w:type="textWrapping"/>
              <w:t xml:space="preserve">IBAN: DE50 4306 0967 2062 4339 00 | BIC: GENODEM1GLS | Banco: GLS Gemeinschaftsbank eG</w:t>
            </w:r>
            <w:r w:rsidDel="00000000" w:rsidR="00000000" w:rsidRPr="00000000">
              <w:drawing>
                <wp:anchor allowOverlap="1" behindDoc="0" distB="0" distT="0" distL="0" distR="0" hidden="0" layoutInCell="1" locked="0" relativeHeight="0" simplePos="0">
                  <wp:simplePos x="0" y="0"/>
                  <wp:positionH relativeFrom="column">
                    <wp:posOffset>4966970</wp:posOffset>
                  </wp:positionH>
                  <wp:positionV relativeFrom="paragraph">
                    <wp:posOffset>443865</wp:posOffset>
                  </wp:positionV>
                  <wp:extent cx="1116330" cy="390525"/>
                  <wp:effectExtent b="0" l="0" r="0" t="0"/>
                  <wp:wrapSquare wrapText="bothSides" distB="0" distT="0" distL="0" distR="0"/>
                  <wp:docPr id="20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3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330" cy="3905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blHeader w:val="0"/>
        </w:trPr>
        <w:tc>
          <w:tcPr>
            <w:tcBorders>
              <w:left w:color="dddddd" w:space="0" w:sz="8" w:val="single"/>
              <w:bottom w:color="dddddd" w:space="0" w:sz="8" w:val="single"/>
              <w:right w:color="dddddd" w:space="0" w:sz="8" w:val="single"/>
            </w:tcBorders>
          </w:tcPr>
          <w:p w:rsidR="00000000" w:rsidDel="00000000" w:rsidP="00000000" w:rsidRDefault="00000000" w:rsidRPr="00000000" w14:paraId="0000007A">
            <w:pPr>
              <w:spacing w:after="113" w:before="0" w:lineRule="auto"/>
              <w:jc w:val="left"/>
              <w:rPr>
                <w:color w:val="333333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widowControl w:val="1"/>
        <w:spacing w:after="113" w:before="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</w:p>
    <w:sectPr>
      <w:headerReference r:id="rId31" w:type="default"/>
      <w:headerReference r:id="rId32" w:type="first"/>
      <w:footerReference r:id="rId33" w:type="default"/>
      <w:footerReference r:id="rId34" w:type="first"/>
      <w:type w:val="continuous"/>
      <w:pgSz w:h="16838" w:w="11906" w:orient="portrait"/>
      <w:pgMar w:bottom="1133" w:top="1416" w:left="1020" w:right="1020" w:header="850" w:footer="68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  <w:font w:name="Liberation Serif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Versión 1.1 | Stand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10/2019Seite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Versión 1.1 | Stand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10/2019Seite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Versión 1.1. | 11/2019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Versión 1.1. | 11/2019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Versión 1.1 | Stand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10/2019Seite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Versión 1.1 | Stand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10/2019Seite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Versión 1.1. | 11/2019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Versión 1.1. | 11/2019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5a5a5a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1"/>
        <w:i w:val="0"/>
        <w:smallCaps w:val="0"/>
        <w:strike w:val="0"/>
        <w:color w:val="009da5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009da5"/>
        <w:sz w:val="24"/>
        <w:szCs w:val="24"/>
        <w:u w:val="none"/>
        <w:shd w:fill="auto" w:val="clear"/>
        <w:vertAlign w:val="baseline"/>
        <w:rtl w:val="0"/>
      </w:rPr>
      <w:t xml:space="preserve">Material educativo sobre la Economía del Bien Común (ECG)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5916295</wp:posOffset>
          </wp:positionH>
          <wp:positionV relativeFrom="paragraph">
            <wp:posOffset>-331469</wp:posOffset>
          </wp:positionV>
          <wp:extent cx="480060" cy="473710"/>
          <wp:effectExtent b="0" l="0" r="0" t="0"/>
          <wp:wrapTopAndBottom distB="0" distT="0"/>
          <wp:docPr id="32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80060" cy="47371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Materiales educativos sobre la economía del bien común | Comparación de los puntos clave del ECG| Procedimiento</w: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5916295</wp:posOffset>
          </wp:positionH>
          <wp:positionV relativeFrom="paragraph">
            <wp:posOffset>-331469</wp:posOffset>
          </wp:positionV>
          <wp:extent cx="480060" cy="473710"/>
          <wp:effectExtent b="0" l="0" r="0" t="0"/>
          <wp:wrapTopAndBottom distB="0" distT="0"/>
          <wp:docPr id="27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80060" cy="47371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Materiales educativos sobre la economía del bien común | Comparación de los puntos clave del ECG| Procedimiento</w: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5916295</wp:posOffset>
          </wp:positionH>
          <wp:positionV relativeFrom="paragraph">
            <wp:posOffset>-331469</wp:posOffset>
          </wp:positionV>
          <wp:extent cx="480060" cy="473710"/>
          <wp:effectExtent b="0" l="0" r="0" t="0"/>
          <wp:wrapTopAndBottom distB="0" distT="0"/>
          <wp:docPr id="28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80060" cy="47371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1"/>
        <w:i w:val="0"/>
        <w:smallCaps w:val="0"/>
        <w:strike w:val="0"/>
        <w:color w:val="009da5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009da5"/>
        <w:sz w:val="24"/>
        <w:szCs w:val="24"/>
        <w:u w:val="none"/>
        <w:shd w:fill="auto" w:val="clear"/>
        <w:vertAlign w:val="baseline"/>
        <w:rtl w:val="0"/>
      </w:rPr>
      <w:t xml:space="preserve">Material educativo sobre la Economía del Bien Común (ECG)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5916295</wp:posOffset>
          </wp:positionH>
          <wp:positionV relativeFrom="paragraph">
            <wp:posOffset>-331469</wp:posOffset>
          </wp:positionV>
          <wp:extent cx="480060" cy="473710"/>
          <wp:effectExtent b="0" l="0" r="0" t="0"/>
          <wp:wrapTopAndBottom distB="0" distT="0"/>
          <wp:docPr id="19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80060" cy="47371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5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Materiales educativos sobre la economía del bien común | Comparación de los puntos clave del ECG| Procedimiento</w: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5916295</wp:posOffset>
          </wp:positionH>
          <wp:positionV relativeFrom="paragraph">
            <wp:posOffset>-331469</wp:posOffset>
          </wp:positionV>
          <wp:extent cx="480060" cy="473710"/>
          <wp:effectExtent b="0" l="0" r="0" t="0"/>
          <wp:wrapTopAndBottom distB="0" distT="0"/>
          <wp:docPr id="24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80060" cy="47371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6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1"/>
        <w:i w:val="0"/>
        <w:smallCaps w:val="0"/>
        <w:strike w:val="0"/>
        <w:color w:val="009da5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009da5"/>
        <w:sz w:val="24"/>
        <w:szCs w:val="24"/>
        <w:u w:val="none"/>
        <w:shd w:fill="auto" w:val="clear"/>
        <w:vertAlign w:val="baseline"/>
        <w:rtl w:val="0"/>
      </w:rPr>
      <w:t xml:space="preserve">Material educativo sobre la Economía del Bien Común (ECG)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5916295</wp:posOffset>
          </wp:positionH>
          <wp:positionV relativeFrom="paragraph">
            <wp:posOffset>-331469</wp:posOffset>
          </wp:positionV>
          <wp:extent cx="480060" cy="473710"/>
          <wp:effectExtent b="0" l="0" r="0" t="0"/>
          <wp:wrapTopAndBottom distB="0" distT="0"/>
          <wp:docPr id="18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80060" cy="47371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7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1"/>
        <w:i w:val="0"/>
        <w:smallCaps w:val="0"/>
        <w:strike w:val="0"/>
        <w:color w:val="009da5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1"/>
        <w:i w:val="0"/>
        <w:smallCaps w:val="0"/>
        <w:strike w:val="0"/>
        <w:color w:val="009da5"/>
        <w:sz w:val="24"/>
        <w:szCs w:val="24"/>
        <w:u w:val="none"/>
        <w:shd w:fill="auto" w:val="clear"/>
        <w:vertAlign w:val="baseline"/>
        <w:rtl w:val="0"/>
      </w:rPr>
      <w:t xml:space="preserve">Material educativo sobre la Economía del Bien Común (ECG)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5916295</wp:posOffset>
          </wp:positionH>
          <wp:positionV relativeFrom="paragraph">
            <wp:posOffset>-331469</wp:posOffset>
          </wp:positionV>
          <wp:extent cx="480060" cy="473710"/>
          <wp:effectExtent b="0" l="0" r="0" t="0"/>
          <wp:wrapTopAndBottom distB="0" distT="0"/>
          <wp:docPr id="22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80060" cy="47371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8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cccccc"/>
        <w:sz w:val="20"/>
        <w:szCs w:val="20"/>
        <w:u w:val="none"/>
        <w:shd w:fill="auto" w:val="clear"/>
        <w:vertAlign w:val="baseline"/>
        <w:rtl w:val="0"/>
      </w:rPr>
      <w:t xml:space="preserve">Materiales educativos sobre la economía del bien común | Comparación de los puntos clave del ECG| Procedimiento</w: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5916295</wp:posOffset>
          </wp:positionH>
          <wp:positionV relativeFrom="paragraph">
            <wp:posOffset>-331469</wp:posOffset>
          </wp:positionV>
          <wp:extent cx="480060" cy="473710"/>
          <wp:effectExtent b="0" l="0" r="0" t="0"/>
          <wp:wrapTopAndBottom distB="0" distT="0"/>
          <wp:docPr id="25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80060" cy="47371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■"/>
      <w:lvlJc w:val="left"/>
      <w:pPr>
        <w:ind w:left="72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1">
      <w:start w:val="1"/>
      <w:numFmt w:val="bullet"/>
      <w:lvlText w:val="■"/>
      <w:lvlJc w:val="left"/>
      <w:pPr>
        <w:ind w:left="108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2">
      <w:start w:val="1"/>
      <w:numFmt w:val="bullet"/>
      <w:lvlText w:val="■"/>
      <w:lvlJc w:val="left"/>
      <w:pPr>
        <w:ind w:left="144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3">
      <w:start w:val="1"/>
      <w:numFmt w:val="bullet"/>
      <w:lvlText w:val="■"/>
      <w:lvlJc w:val="left"/>
      <w:pPr>
        <w:ind w:left="180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4">
      <w:start w:val="1"/>
      <w:numFmt w:val="bullet"/>
      <w:lvlText w:val="■"/>
      <w:lvlJc w:val="left"/>
      <w:pPr>
        <w:ind w:left="216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5">
      <w:start w:val="1"/>
      <w:numFmt w:val="bullet"/>
      <w:lvlText w:val="■"/>
      <w:lvlJc w:val="left"/>
      <w:pPr>
        <w:ind w:left="252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6">
      <w:start w:val="1"/>
      <w:numFmt w:val="bullet"/>
      <w:lvlText w:val="■"/>
      <w:lvlJc w:val="left"/>
      <w:pPr>
        <w:ind w:left="288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7">
      <w:start w:val="1"/>
      <w:numFmt w:val="bullet"/>
      <w:lvlText w:val="■"/>
      <w:lvlJc w:val="left"/>
      <w:pPr>
        <w:ind w:left="324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8">
      <w:start w:val="1"/>
      <w:numFmt w:val="bullet"/>
      <w:lvlText w:val="■"/>
      <w:lvlJc w:val="left"/>
      <w:pPr>
        <w:ind w:left="360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</w:abstractNum>
  <w:abstractNum w:abstractNumId="2">
    <w:lvl w:ilvl="0">
      <w:start w:val="1"/>
      <w:numFmt w:val="bullet"/>
      <w:lvlText w:val="■"/>
      <w:lvlJc w:val="left"/>
      <w:pPr>
        <w:ind w:left="72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1">
      <w:start w:val="1"/>
      <w:numFmt w:val="bullet"/>
      <w:lvlText w:val="■"/>
      <w:lvlJc w:val="left"/>
      <w:pPr>
        <w:ind w:left="108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2">
      <w:start w:val="1"/>
      <w:numFmt w:val="bullet"/>
      <w:lvlText w:val="■"/>
      <w:lvlJc w:val="left"/>
      <w:pPr>
        <w:ind w:left="144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3">
      <w:start w:val="1"/>
      <w:numFmt w:val="bullet"/>
      <w:lvlText w:val="■"/>
      <w:lvlJc w:val="left"/>
      <w:pPr>
        <w:ind w:left="180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4">
      <w:start w:val="1"/>
      <w:numFmt w:val="bullet"/>
      <w:lvlText w:val="■"/>
      <w:lvlJc w:val="left"/>
      <w:pPr>
        <w:ind w:left="216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5">
      <w:start w:val="1"/>
      <w:numFmt w:val="bullet"/>
      <w:lvlText w:val="■"/>
      <w:lvlJc w:val="left"/>
      <w:pPr>
        <w:ind w:left="252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6">
      <w:start w:val="1"/>
      <w:numFmt w:val="bullet"/>
      <w:lvlText w:val="■"/>
      <w:lvlJc w:val="left"/>
      <w:pPr>
        <w:ind w:left="288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7">
      <w:start w:val="1"/>
      <w:numFmt w:val="bullet"/>
      <w:lvlText w:val="■"/>
      <w:lvlJc w:val="left"/>
      <w:pPr>
        <w:ind w:left="324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8">
      <w:start w:val="1"/>
      <w:numFmt w:val="bullet"/>
      <w:lvlText w:val="■"/>
      <w:lvlJc w:val="left"/>
      <w:pPr>
        <w:ind w:left="3600" w:hanging="36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</w:abstractNum>
  <w:abstractNum w:abstractNumId="3">
    <w:lvl w:ilvl="0">
      <w:start w:val="1"/>
      <w:numFmt w:val="decimal"/>
      <w:lvlText w:val="%1"/>
      <w:lvlJc w:val="left"/>
      <w:pPr>
        <w:ind w:left="432" w:hanging="432"/>
      </w:pPr>
      <w:rPr/>
    </w:lvl>
    <w:lvl w:ilvl="1">
      <w:start w:val="1"/>
      <w:numFmt w:val="decimal"/>
      <w:lvlText w:val="%2"/>
      <w:lvlJc w:val="left"/>
      <w:pPr>
        <w:ind w:left="576" w:hanging="576"/>
      </w:pPr>
      <w:rPr/>
    </w:lvl>
    <w:lvl w:ilvl="2">
      <w:start w:val="1"/>
      <w:numFmt w:val="decimal"/>
      <w:lvlText w:val="%3"/>
      <w:lvlJc w:val="left"/>
      <w:pPr>
        <w:ind w:left="720" w:hanging="720"/>
      </w:pPr>
      <w:rPr/>
    </w:lvl>
    <w:lvl w:ilvl="3">
      <w:start w:val="1"/>
      <w:numFmt w:val="decimal"/>
      <w:lvlText w:val="%4"/>
      <w:lvlJc w:val="left"/>
      <w:pPr>
        <w:ind w:left="864" w:hanging="864"/>
      </w:pPr>
      <w:rPr/>
    </w:lvl>
    <w:lvl w:ilvl="4">
      <w:start w:val="1"/>
      <w:numFmt w:val="decimal"/>
      <w:lvlText w:val="%5"/>
      <w:lvlJc w:val="left"/>
      <w:pPr>
        <w:ind w:left="1008" w:hanging="1008"/>
      </w:pPr>
      <w:rPr/>
    </w:lvl>
    <w:lvl w:ilvl="5">
      <w:start w:val="1"/>
      <w:numFmt w:val="decimal"/>
      <w:lvlText w:val="%6"/>
      <w:lvlJc w:val="left"/>
      <w:pPr>
        <w:ind w:left="1152" w:hanging="1152"/>
      </w:pPr>
      <w:rPr/>
    </w:lvl>
    <w:lvl w:ilvl="6">
      <w:start w:val="1"/>
      <w:numFmt w:val="decimal"/>
      <w:lvlText w:val="%7"/>
      <w:lvlJc w:val="left"/>
      <w:pPr>
        <w:ind w:left="1296" w:hanging="1296"/>
      </w:pPr>
      <w:rPr/>
    </w:lvl>
    <w:lvl w:ilvl="7">
      <w:start w:val="1"/>
      <w:numFmt w:val="decimal"/>
      <w:lvlText w:val="%8"/>
      <w:lvlJc w:val="left"/>
      <w:pPr>
        <w:ind w:left="1440" w:hanging="1440"/>
      </w:pPr>
      <w:rPr/>
    </w:lvl>
    <w:lvl w:ilvl="8">
      <w:start w:val="1"/>
      <w:numFmt w:val="decimal"/>
      <w:lvlText w:val="%9"/>
      <w:lvlJc w:val="left"/>
      <w:pPr>
        <w:ind w:left="1584" w:hanging="1584"/>
      </w:pPr>
      <w:rPr/>
    </w:lvl>
  </w:abstractNum>
  <w:abstractNum w:abstractNumId="4">
    <w:lvl w:ilvl="0">
      <w:start w:val="1"/>
      <w:numFmt w:val="bullet"/>
      <w:lvlText w:val="■"/>
      <w:lvlJc w:val="left"/>
      <w:pPr>
        <w:ind w:left="227" w:hanging="227"/>
      </w:pPr>
      <w:rPr>
        <w:rFonts w:ascii="Noto Sans" w:cs="Noto Sans" w:eastAsia="Noto Sans" w:hAnsi="Noto Sans"/>
        <w:color w:val="889e33"/>
        <w:sz w:val="20"/>
        <w:szCs w:val="20"/>
      </w:rPr>
    </w:lvl>
    <w:lvl w:ilvl="1">
      <w:start w:val="1"/>
      <w:numFmt w:val="bullet"/>
      <w:lvlText w:val="■"/>
      <w:lvlJc w:val="left"/>
      <w:pPr>
        <w:ind w:left="454" w:hanging="227"/>
      </w:pPr>
      <w:rPr>
        <w:rFonts w:ascii="Noto Sans" w:cs="Noto Sans" w:eastAsia="Noto Sans" w:hAnsi="Noto Sans"/>
        <w:color w:val="889e33"/>
        <w:sz w:val="20"/>
        <w:szCs w:val="20"/>
      </w:rPr>
    </w:lvl>
    <w:lvl w:ilvl="2">
      <w:start w:val="1"/>
      <w:numFmt w:val="bullet"/>
      <w:lvlText w:val="■"/>
      <w:lvlJc w:val="left"/>
      <w:pPr>
        <w:ind w:left="680" w:hanging="227"/>
      </w:pPr>
      <w:rPr>
        <w:rFonts w:ascii="Noto Sans" w:cs="Noto Sans" w:eastAsia="Noto Sans" w:hAnsi="Noto Sans"/>
        <w:color w:val="889e33"/>
        <w:sz w:val="20"/>
        <w:szCs w:val="20"/>
      </w:rPr>
    </w:lvl>
    <w:lvl w:ilvl="3">
      <w:start w:val="1"/>
      <w:numFmt w:val="bullet"/>
      <w:lvlText w:val="■"/>
      <w:lvlJc w:val="left"/>
      <w:pPr>
        <w:ind w:left="907" w:hanging="227"/>
      </w:pPr>
      <w:rPr>
        <w:rFonts w:ascii="Noto Sans" w:cs="Noto Sans" w:eastAsia="Noto Sans" w:hAnsi="Noto Sans"/>
        <w:color w:val="889e33"/>
        <w:sz w:val="20"/>
        <w:szCs w:val="20"/>
      </w:rPr>
    </w:lvl>
    <w:lvl w:ilvl="4">
      <w:start w:val="1"/>
      <w:numFmt w:val="bullet"/>
      <w:lvlText w:val="■"/>
      <w:lvlJc w:val="left"/>
      <w:pPr>
        <w:ind w:left="1134" w:hanging="227"/>
      </w:pPr>
      <w:rPr>
        <w:rFonts w:ascii="Noto Sans" w:cs="Noto Sans" w:eastAsia="Noto Sans" w:hAnsi="Noto Sans"/>
        <w:color w:val="889e33"/>
        <w:sz w:val="20"/>
        <w:szCs w:val="20"/>
      </w:rPr>
    </w:lvl>
    <w:lvl w:ilvl="5">
      <w:start w:val="1"/>
      <w:numFmt w:val="bullet"/>
      <w:lvlText w:val="■"/>
      <w:lvlJc w:val="left"/>
      <w:pPr>
        <w:ind w:left="1361" w:hanging="227"/>
      </w:pPr>
      <w:rPr>
        <w:rFonts w:ascii="Noto Sans" w:cs="Noto Sans" w:eastAsia="Noto Sans" w:hAnsi="Noto Sans"/>
        <w:color w:val="889e33"/>
        <w:sz w:val="20"/>
        <w:szCs w:val="20"/>
      </w:rPr>
    </w:lvl>
    <w:lvl w:ilvl="6">
      <w:start w:val="1"/>
      <w:numFmt w:val="bullet"/>
      <w:lvlText w:val="■"/>
      <w:lvlJc w:val="left"/>
      <w:pPr>
        <w:ind w:left="1587" w:hanging="227"/>
      </w:pPr>
      <w:rPr>
        <w:rFonts w:ascii="Noto Sans" w:cs="Noto Sans" w:eastAsia="Noto Sans" w:hAnsi="Noto Sans"/>
        <w:color w:val="889e33"/>
        <w:sz w:val="20"/>
        <w:szCs w:val="20"/>
      </w:rPr>
    </w:lvl>
    <w:lvl w:ilvl="7">
      <w:start w:val="1"/>
      <w:numFmt w:val="bullet"/>
      <w:lvlText w:val="■"/>
      <w:lvlJc w:val="left"/>
      <w:pPr>
        <w:ind w:left="1814" w:hanging="226.99999999999977"/>
      </w:pPr>
      <w:rPr>
        <w:rFonts w:ascii="Noto Sans" w:cs="Noto Sans" w:eastAsia="Noto Sans" w:hAnsi="Noto Sans"/>
        <w:color w:val="889e33"/>
        <w:sz w:val="20"/>
        <w:szCs w:val="20"/>
      </w:rPr>
    </w:lvl>
    <w:lvl w:ilvl="8">
      <w:start w:val="1"/>
      <w:numFmt w:val="bullet"/>
      <w:lvlText w:val="■"/>
      <w:lvlJc w:val="left"/>
      <w:pPr>
        <w:ind w:left="2041" w:hanging="227"/>
      </w:pPr>
      <w:rPr>
        <w:rFonts w:ascii="Noto Sans" w:cs="Noto Sans" w:eastAsia="Noto Sans" w:hAnsi="Noto Sans"/>
        <w:color w:val="889e33"/>
        <w:sz w:val="20"/>
        <w:szCs w:val="20"/>
      </w:rPr>
    </w:lvl>
  </w:abstractNum>
  <w:abstractNum w:abstractNumId="5">
    <w:lvl w:ilvl="0">
      <w:start w:val="1"/>
      <w:numFmt w:val="bullet"/>
      <w:lvlText w:val="■"/>
      <w:lvlJc w:val="left"/>
      <w:pPr>
        <w:ind w:left="397" w:hanging="340"/>
      </w:pPr>
      <w:rPr>
        <w:rFonts w:ascii="Noto Sans Symbols" w:cs="Noto Sans Symbols" w:eastAsia="Noto Sans Symbols" w:hAnsi="Noto Sans Symbols"/>
        <w:color w:val="889e33"/>
        <w:sz w:val="20"/>
        <w:szCs w:val="20"/>
      </w:rPr>
    </w:lvl>
    <w:lvl w:ilvl="1">
      <w:start w:val="1"/>
      <w:numFmt w:val="bullet"/>
      <w:lvlText w:val="■"/>
      <w:lvlJc w:val="left"/>
      <w:pPr>
        <w:ind w:left="1080" w:hanging="360"/>
      </w:pPr>
      <w:rPr>
        <w:rFonts w:ascii="Noto Sans" w:cs="Noto Sans" w:eastAsia="Noto Sans" w:hAnsi="Noto Sans"/>
        <w:color w:val="889e33"/>
        <w:sz w:val="20"/>
        <w:szCs w:val="20"/>
      </w:rPr>
    </w:lvl>
    <w:lvl w:ilvl="2">
      <w:start w:val="1"/>
      <w:numFmt w:val="bullet"/>
      <w:lvlText w:val="■"/>
      <w:lvlJc w:val="left"/>
      <w:pPr>
        <w:ind w:left="1440" w:hanging="360"/>
      </w:pPr>
      <w:rPr>
        <w:rFonts w:ascii="Noto Sans" w:cs="Noto Sans" w:eastAsia="Noto Sans" w:hAnsi="Noto Sans"/>
        <w:color w:val="889e33"/>
        <w:sz w:val="20"/>
        <w:szCs w:val="20"/>
      </w:rPr>
    </w:lvl>
    <w:lvl w:ilvl="3">
      <w:start w:val="1"/>
      <w:numFmt w:val="bullet"/>
      <w:lvlText w:val="■"/>
      <w:lvlJc w:val="left"/>
      <w:pPr>
        <w:ind w:left="1800" w:hanging="360"/>
      </w:pPr>
      <w:rPr>
        <w:rFonts w:ascii="Noto Sans" w:cs="Noto Sans" w:eastAsia="Noto Sans" w:hAnsi="Noto Sans"/>
        <w:color w:val="889e33"/>
        <w:sz w:val="20"/>
        <w:szCs w:val="20"/>
      </w:rPr>
    </w:lvl>
    <w:lvl w:ilvl="4">
      <w:start w:val="1"/>
      <w:numFmt w:val="bullet"/>
      <w:lvlText w:val="■"/>
      <w:lvlJc w:val="left"/>
      <w:pPr>
        <w:ind w:left="2160" w:hanging="360"/>
      </w:pPr>
      <w:rPr>
        <w:rFonts w:ascii="Noto Sans" w:cs="Noto Sans" w:eastAsia="Noto Sans" w:hAnsi="Noto Sans"/>
        <w:color w:val="889e33"/>
        <w:sz w:val="20"/>
        <w:szCs w:val="20"/>
      </w:rPr>
    </w:lvl>
    <w:lvl w:ilvl="5">
      <w:start w:val="1"/>
      <w:numFmt w:val="bullet"/>
      <w:lvlText w:val="■"/>
      <w:lvlJc w:val="left"/>
      <w:pPr>
        <w:ind w:left="2520" w:hanging="360"/>
      </w:pPr>
      <w:rPr>
        <w:rFonts w:ascii="Noto Sans" w:cs="Noto Sans" w:eastAsia="Noto Sans" w:hAnsi="Noto Sans"/>
        <w:color w:val="889e33"/>
        <w:sz w:val="20"/>
        <w:szCs w:val="20"/>
      </w:rPr>
    </w:lvl>
    <w:lvl w:ilvl="6">
      <w:start w:val="1"/>
      <w:numFmt w:val="bullet"/>
      <w:lvlText w:val="■"/>
      <w:lvlJc w:val="left"/>
      <w:pPr>
        <w:ind w:left="2880" w:hanging="360"/>
      </w:pPr>
      <w:rPr>
        <w:rFonts w:ascii="Noto Sans" w:cs="Noto Sans" w:eastAsia="Noto Sans" w:hAnsi="Noto Sans"/>
        <w:color w:val="889e33"/>
        <w:sz w:val="20"/>
        <w:szCs w:val="20"/>
      </w:rPr>
    </w:lvl>
    <w:lvl w:ilvl="7">
      <w:start w:val="1"/>
      <w:numFmt w:val="bullet"/>
      <w:lvlText w:val="■"/>
      <w:lvlJc w:val="left"/>
      <w:pPr>
        <w:ind w:left="3240" w:hanging="360"/>
      </w:pPr>
      <w:rPr>
        <w:rFonts w:ascii="Noto Sans" w:cs="Noto Sans" w:eastAsia="Noto Sans" w:hAnsi="Noto Sans"/>
        <w:color w:val="889e33"/>
        <w:sz w:val="20"/>
        <w:szCs w:val="20"/>
      </w:rPr>
    </w:lvl>
    <w:lvl w:ilvl="8">
      <w:start w:val="1"/>
      <w:numFmt w:val="bullet"/>
      <w:lvlText w:val="■"/>
      <w:lvlJc w:val="left"/>
      <w:pPr>
        <w:ind w:left="3600" w:hanging="360"/>
      </w:pPr>
      <w:rPr>
        <w:rFonts w:ascii="Noto Sans" w:cs="Noto Sans" w:eastAsia="Noto Sans" w:hAnsi="Noto Sans"/>
        <w:color w:val="889e33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Liberation Serif" w:cs="Liberation Serif" w:eastAsia="Liberation Serif" w:hAnsi="Liberation Serif"/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spacing w:after="794" w:before="238" w:lineRule="auto"/>
      <w:ind w:left="0" w:right="0" w:firstLine="0"/>
      <w:jc w:val="center"/>
    </w:pPr>
    <w:rPr>
      <w:rFonts w:ascii="Arial" w:cs="Arial" w:eastAsia="Arial" w:hAnsi="Arial"/>
      <w:b w:val="1"/>
      <w:i w:val="0"/>
      <w:color w:val="889e33"/>
      <w:sz w:val="34"/>
      <w:szCs w:val="34"/>
      <w:shd w:fill="auto" w:val="clear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>
    <w:name w:val="Normal"/>
    <w:qFormat w:val="1"/>
    <w:pPr>
      <w:widowControl w:val="1"/>
      <w:kinsoku w:val="1"/>
      <w:overflowPunct w:val="1"/>
      <w:autoSpaceDE w:val="1"/>
      <w:bidi w:val="0"/>
    </w:pPr>
    <w:rPr>
      <w:rFonts w:ascii="Liberation Serif" w:cs="Lohit Devanagari" w:eastAsia="WenQuanYi Micro Hei" w:hAnsi="Liberation Serif"/>
      <w:color w:val="auto"/>
      <w:kern w:val="2"/>
      <w:sz w:val="24"/>
      <w:szCs w:val="24"/>
      <w:lang w:bidi="hi-IN" w:eastAsia="zh-CN" w:val="de-DE"/>
    </w:rPr>
  </w:style>
  <w:style w:type="paragraph" w:styleId="Berschrift1">
    <w:name w:val="Heading 1"/>
    <w:basedOn w:val="Berschrift"/>
    <w:next w:val="Textkrper"/>
    <w:qFormat w:val="1"/>
    <w:pPr>
      <w:numPr>
        <w:ilvl w:val="0"/>
        <w:numId w:val="1"/>
      </w:numPr>
      <w:spacing w:after="794" w:before="238"/>
      <w:ind w:left="0" w:right="0" w:hanging="0"/>
      <w:jc w:val="center"/>
      <w:outlineLvl w:val="0"/>
    </w:pPr>
    <w:rPr>
      <w:rFonts w:ascii="Arial" w:hAnsi="Arial"/>
      <w:b w:val="1"/>
      <w:bCs w:val="1"/>
      <w:i w:val="0"/>
      <w:color w:val="889e33"/>
      <w:sz w:val="34"/>
      <w:szCs w:val="36"/>
      <w:shd w:fill="auto" w:val="clear"/>
    </w:rPr>
  </w:style>
  <w:style w:type="character" w:styleId="Aufzhlungszeichen">
    <w:name w:val="Aufzählungszeichen"/>
    <w:qFormat w:val="1"/>
    <w:rPr>
      <w:rFonts w:ascii="Arial" w:cs="OpenSymbol" w:eastAsia="OpenSymbol" w:hAnsi="Arial"/>
      <w:color w:val="889e33"/>
      <w:sz w:val="20"/>
      <w:szCs w:val="20"/>
    </w:rPr>
  </w:style>
  <w:style w:type="character" w:styleId="Nummerierungszeichen">
    <w:name w:val="Nummerierungszeichen"/>
    <w:qFormat w:val="1"/>
    <w:rPr/>
  </w:style>
  <w:style w:type="character" w:styleId="Character20style">
    <w:name w:val="Character_20_style"/>
    <w:qFormat w:val="1"/>
    <w:rPr/>
  </w:style>
  <w:style w:type="character" w:styleId="DefaultParagraphFont">
    <w:name w:val="Default Paragraph Font"/>
    <w:qFormat w:val="1"/>
    <w:rPr/>
  </w:style>
  <w:style w:type="character" w:styleId="Betont">
    <w:name w:val="Betont"/>
    <w:basedOn w:val="DefaultParagraphFont"/>
    <w:qFormat w:val="1"/>
    <w:rPr>
      <w:rFonts w:ascii="Arial" w:hAnsi="Arial"/>
      <w:b w:val="1"/>
      <w:i w:val="0"/>
      <w:iCs w:val="1"/>
      <w:color w:val="889e33"/>
      <w:sz w:val="32"/>
    </w:rPr>
  </w:style>
  <w:style w:type="character" w:styleId="Internetverknpfung">
    <w:name w:val="Internetverknüpfung"/>
    <w:rPr>
      <w:color w:val="000080"/>
      <w:u w:val="single"/>
      <w:lang w:bidi="zxx" w:eastAsia="zxx" w:val="zxx"/>
    </w:rPr>
  </w:style>
  <w:style w:type="character" w:styleId="BesuchteInternetverknpfung">
    <w:name w:val="Besuchte Internetverknüpfung"/>
    <w:rPr>
      <w:color w:val="800000"/>
      <w:u w:val="single"/>
      <w:lang w:bidi="zxx" w:eastAsia="zxx" w:val="zxx"/>
    </w:rPr>
  </w:style>
  <w:style w:type="paragraph" w:styleId="Berschrift">
    <w:name w:val="Überschrift"/>
    <w:basedOn w:val="Normal"/>
    <w:next w:val="Textkrper"/>
    <w:qFormat w:val="1"/>
    <w:pPr>
      <w:keepNext w:val="1"/>
      <w:spacing w:after="120" w:before="240"/>
    </w:pPr>
    <w:rPr>
      <w:rFonts w:ascii="Liberation Sans" w:cs="Lohit Devanagari" w:eastAsia="WenQuanYi Micro Hei" w:hAnsi="Liberation Sans"/>
      <w:sz w:val="28"/>
      <w:szCs w:val="28"/>
    </w:rPr>
  </w:style>
  <w:style w:type="paragraph" w:styleId="Textkrper">
    <w:name w:val="Body Text"/>
    <w:basedOn w:val="Normal"/>
    <w:pPr>
      <w:spacing w:after="140" w:before="0" w:line="288" w:lineRule="auto"/>
    </w:pPr>
    <w:rPr/>
  </w:style>
  <w:style w:type="paragraph" w:styleId="Aufzhlung">
    <w:name w:val="List"/>
    <w:basedOn w:val="Textkrper"/>
    <w:pPr/>
    <w:rPr>
      <w:rFonts w:cs="Lohit Devanagari"/>
    </w:rPr>
  </w:style>
  <w:style w:type="paragraph" w:styleId="Beschriftung">
    <w:name w:val="Caption"/>
    <w:basedOn w:val="Normal"/>
    <w:qFormat w:val="1"/>
    <w:pPr>
      <w:suppressLineNumbers w:val="1"/>
      <w:spacing w:after="120" w:before="120"/>
    </w:pPr>
    <w:rPr>
      <w:rFonts w:cs="Lohit Devanagari"/>
      <w:i w:val="1"/>
      <w:iCs w:val="1"/>
      <w:sz w:val="24"/>
      <w:szCs w:val="24"/>
    </w:rPr>
  </w:style>
  <w:style w:type="paragraph" w:styleId="Verzeichnis">
    <w:name w:val="Verzeichnis"/>
    <w:basedOn w:val="Normal"/>
    <w:qFormat w:val="1"/>
    <w:pPr>
      <w:suppressLineNumbers w:val="1"/>
    </w:pPr>
    <w:rPr>
      <w:rFonts w:cs="Lohit Devanagari"/>
    </w:rPr>
  </w:style>
  <w:style w:type="paragraph" w:styleId="KopfundFuzeile">
    <w:name w:val="Kopf- und Fußzeile"/>
    <w:basedOn w:val="Normal"/>
    <w:qFormat w:val="1"/>
    <w:pPr>
      <w:suppressLineNumbers w:val="1"/>
      <w:tabs>
        <w:tab w:val="clear" w:pos="283"/>
        <w:tab w:val="center" w:leader="none" w:pos="4819"/>
        <w:tab w:val="right" w:leader="none" w:pos="9638"/>
      </w:tabs>
    </w:pPr>
    <w:rPr/>
  </w:style>
  <w:style w:type="paragraph" w:styleId="Fuzeile">
    <w:name w:val="Footer"/>
    <w:basedOn w:val="Normal"/>
    <w:pPr>
      <w:suppressLineNumbers w:val="1"/>
      <w:tabs>
        <w:tab w:val="clear" w:pos="283"/>
        <w:tab w:val="center" w:leader="none" w:pos="4819"/>
        <w:tab w:val="right" w:leader="none" w:pos="9638"/>
      </w:tabs>
    </w:pPr>
    <w:rPr>
      <w:rFonts w:ascii="Arial" w:hAnsi="Arial"/>
      <w:color w:val="cccccc"/>
      <w:sz w:val="20"/>
    </w:rPr>
  </w:style>
  <w:style w:type="paragraph" w:styleId="Kopfzeile">
    <w:name w:val="Header"/>
    <w:basedOn w:val="Normal"/>
    <w:pPr>
      <w:suppressLineNumbers w:val="1"/>
      <w:tabs>
        <w:tab w:val="clear" w:pos="283"/>
        <w:tab w:val="center" w:leader="none" w:pos="4933"/>
        <w:tab w:val="right" w:leader="none" w:pos="9866"/>
      </w:tabs>
    </w:pPr>
    <w:rPr/>
  </w:style>
  <w:style w:type="paragraph" w:styleId="Kopfzeilelinks">
    <w:name w:val="Kopfzeile links"/>
    <w:basedOn w:val="Normal"/>
    <w:qFormat w:val="1"/>
    <w:pPr>
      <w:suppressLineNumbers w:val="1"/>
      <w:tabs>
        <w:tab w:val="clear" w:pos="283"/>
        <w:tab w:val="center" w:leader="none" w:pos="4933"/>
        <w:tab w:val="right" w:leader="none" w:pos="9866"/>
      </w:tabs>
    </w:pPr>
    <w:rPr/>
  </w:style>
  <w:style w:type="paragraph" w:styleId="Tabelleninhalt">
    <w:name w:val="Tabelleninhalt"/>
    <w:basedOn w:val="Normal"/>
    <w:qFormat w:val="1"/>
    <w:pPr/>
    <w:rPr/>
  </w:style>
  <w:style w:type="paragraph" w:styleId="GWBildungsmethodeBERSCHRIFTEN">
    <w:name w:val="GWÖ-Bildungsmethode-ÜBERSCHRIFTEN"/>
    <w:basedOn w:val="GWBildungsmethodeText"/>
    <w:qFormat w:val="1"/>
    <w:pPr>
      <w:shd w:fill="889e33" w:val="clear"/>
      <w:spacing w:after="170" w:before="113"/>
    </w:pPr>
    <w:rPr>
      <w:rFonts w:ascii="Arial" w:hAnsi="Arial"/>
      <w:b w:val="1"/>
      <w:caps w:val="1"/>
      <w:color w:val="ffffff"/>
      <w:spacing w:val="30"/>
      <w:sz w:val="24"/>
    </w:rPr>
  </w:style>
  <w:style w:type="paragraph" w:styleId="Gruformel">
    <w:name w:val="Salutation"/>
    <w:basedOn w:val="Normal"/>
    <w:pPr>
      <w:suppressLineNumbers w:val="1"/>
    </w:pPr>
    <w:rPr/>
  </w:style>
  <w:style w:type="paragraph" w:styleId="GWBildungsmethodeText">
    <w:name w:val="GWÖ-Bildungsmethode-Text"/>
    <w:qFormat w:val="1"/>
    <w:pPr>
      <w:widowControl w:val="1"/>
      <w:suppressAutoHyphens w:val="0"/>
      <w:kinsoku w:val="1"/>
      <w:overflowPunct w:val="1"/>
      <w:autoSpaceDE w:val="1"/>
      <w:bidi w:val="0"/>
      <w:spacing w:after="142" w:before="0" w:line="288" w:lineRule="auto"/>
      <w:jc w:val="both"/>
    </w:pPr>
    <w:rPr>
      <w:rFonts w:ascii="Arial" w:cs="Lohit Devanagari" w:eastAsia="WenQuanYi Micro Hei" w:hAnsi="Arial"/>
      <w:color w:val="5a5a5a"/>
      <w:kern w:val="2"/>
      <w:sz w:val="20"/>
      <w:szCs w:val="24"/>
      <w:lang w:bidi="hi-IN" w:eastAsia="zh-CN" w:val="de-DE"/>
    </w:rPr>
  </w:style>
  <w:style w:type="paragraph" w:styleId="GWBildungsmethodePunktaufzhlung">
    <w:name w:val="GWÖ-Bildungsmethode-Punktaufzählung"/>
    <w:basedOn w:val="GWBildungsmethodeText"/>
    <w:qFormat w:val="1"/>
    <w:pPr>
      <w:numPr>
        <w:ilvl w:val="0"/>
        <w:numId w:val="2"/>
      </w:numPr>
      <w:tabs>
        <w:tab w:val="clear" w:pos="283"/>
      </w:tabs>
      <w:spacing w:after="57" w:before="0"/>
      <w:outlineLvl w:val="1"/>
    </w:pPr>
    <w:rPr/>
  </w:style>
  <w:style w:type="paragraph" w:styleId="Fuzeilerechts">
    <w:name w:val="Fußzeile rechts"/>
    <w:basedOn w:val="Normal"/>
    <w:qFormat w:val="1"/>
    <w:pPr>
      <w:suppressLineNumbers w:val="1"/>
      <w:tabs>
        <w:tab w:val="clear" w:pos="283"/>
        <w:tab w:val="center" w:leader="none" w:pos="4933"/>
        <w:tab w:val="right" w:leader="none" w:pos="9866"/>
      </w:tabs>
    </w:pPr>
    <w:rPr>
      <w:rFonts w:ascii="Arial" w:hAnsi="Arial"/>
      <w:i w:val="1"/>
      <w:color w:val="5a5a5a"/>
      <w:sz w:val="20"/>
    </w:rPr>
  </w:style>
  <w:style w:type="paragraph" w:styleId="Tabellenberschrift">
    <w:name w:val="Tabellenüberschrift"/>
    <w:basedOn w:val="Tabelleninhalt"/>
    <w:qFormat w:val="1"/>
    <w:pPr>
      <w:suppressLineNumbers w:val="1"/>
      <w:jc w:val="center"/>
    </w:pPr>
    <w:rPr>
      <w:rFonts w:ascii="Arial" w:hAnsi="Arial"/>
      <w:b w:val="1"/>
      <w:bCs w:val="1"/>
      <w:color w:val="ffffff"/>
      <w:sz w:val="22"/>
    </w:rPr>
  </w:style>
  <w:style w:type="paragraph" w:styleId="GWBildungsmethodeTabellentext">
    <w:name w:val="GWÖ-Bildungsmethode-Tabellentext"/>
    <w:basedOn w:val="GWBildungsmethodeText"/>
    <w:qFormat w:val="1"/>
    <w:pPr>
      <w:suppressAutoHyphens w:val="0"/>
      <w:spacing w:after="57" w:before="0" w:line="240" w:lineRule="auto"/>
      <w:jc w:val="center"/>
    </w:pPr>
    <w:rPr>
      <w:rFonts w:ascii="Arial" w:hAnsi="Arial"/>
      <w:color w:val="5a5a5a"/>
      <w:sz w:val="20"/>
    </w:rPr>
  </w:style>
  <w:style w:type="paragraph" w:styleId="GWBildungsmethodeGRUNDANGABEN">
    <w:name w:val="GWÖ-Bildungsmethode-GRUNDANGABEN"/>
    <w:basedOn w:val="GWBildungsmethodePunktaufzhlung"/>
    <w:qFormat w:val="1"/>
    <w:pPr>
      <w:numPr>
        <w:ilvl w:val="0"/>
        <w:numId w:val="0"/>
      </w:numPr>
      <w:tabs>
        <w:tab w:val="left" w:leader="none" w:pos="3000"/>
      </w:tabs>
      <w:spacing w:line="0" w:lineRule="atLeast"/>
      <w:outlineLvl w:val="9"/>
    </w:pPr>
    <w:rPr>
      <w:rFonts w:ascii="Arial" w:cs="Arial" w:hAnsi="Arial"/>
      <w:b w:val="1"/>
      <w:bCs w:val="1"/>
      <w:i w:val="0"/>
      <w:color w:val="595959"/>
      <w:sz w:val="22"/>
      <w:szCs w:val="22"/>
    </w:rPr>
  </w:style>
  <w:style w:type="paragraph" w:styleId="GWBildungsmethodeVariationen">
    <w:name w:val="GWÖ-Bildungsmethode-Variationen"/>
    <w:basedOn w:val="GWBildungsmethodeText"/>
    <w:qFormat w:val="1"/>
    <w:pPr>
      <w:spacing w:after="142" w:before="0"/>
    </w:pPr>
    <w:rPr>
      <w:b w:val="1"/>
      <w:bCs w:val="1"/>
      <w:color w:val="889e33"/>
      <w:sz w:val="22"/>
      <w:szCs w:val="22"/>
    </w:rPr>
  </w:style>
  <w:style w:type="paragraph" w:styleId="ListParagraph">
    <w:name w:val="List Paragraph"/>
    <w:basedOn w:val="Normal"/>
    <w:qFormat w:val="1"/>
    <w:pPr>
      <w:spacing w:after="0" w:before="0"/>
      <w:contextualSpacing w:val="1"/>
    </w:pPr>
    <w:rPr/>
  </w:style>
  <w:style w:type="paragraph" w:styleId="GWBildungsmethodeTabellelberschrift">
    <w:name w:val="GWÖ-Bildungsmethode-Tabellelüberschrift"/>
    <w:basedOn w:val="GWBildungsmethodeText"/>
    <w:qFormat w:val="1"/>
    <w:pPr>
      <w:spacing w:after="0" w:before="0"/>
      <w:jc w:val="left"/>
    </w:pPr>
    <w:rPr>
      <w:b w:val="1"/>
      <w:color w:val="ffffff"/>
      <w:sz w:val="20"/>
    </w:rPr>
  </w:style>
  <w:style w:type="paragraph" w:styleId="GWBildungsmethodeANSCHLUSSTITEL">
    <w:name w:val="GWÖ-Bildungsmethode-ANSCHLUSS-TITEL"/>
    <w:basedOn w:val="GWBildungsmethodeTabellelberschrift"/>
    <w:qFormat w:val="1"/>
    <w:pPr/>
    <w:rPr>
      <w:color w:val="ffffff"/>
    </w:rPr>
  </w:style>
  <w:style w:type="numbering" w:styleId="Aufzhlungszeichen1">
    <w:name w:val="Aufzählungszeichen •"/>
    <w:qFormat w:val="1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57.0" w:type="dxa"/>
        <w:left w:w="113.0" w:type="dxa"/>
        <w:bottom w:w="57.0" w:type="dxa"/>
        <w:right w:w="57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57.0" w:type="dxa"/>
        <w:bottom w:w="0.0" w:type="dxa"/>
        <w:right w:w="57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57.0" w:type="dxa"/>
        <w:bottom w:w="0.0" w:type="dxa"/>
        <w:right w:w="57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55.0" w:type="dxa"/>
        <w:left w:w="55.0" w:type="dxa"/>
        <w:bottom w:w="55.0" w:type="dxa"/>
        <w:right w:w="5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5.xml"/><Relationship Id="rId22" Type="http://schemas.openxmlformats.org/officeDocument/2006/relationships/header" Target="header6.xml"/><Relationship Id="rId21" Type="http://schemas.openxmlformats.org/officeDocument/2006/relationships/header" Target="header8.xml"/><Relationship Id="rId24" Type="http://schemas.openxmlformats.org/officeDocument/2006/relationships/footer" Target="footer2.xml"/><Relationship Id="rId23" Type="http://schemas.openxmlformats.org/officeDocument/2006/relationships/footer" Target="footer4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26" Type="http://schemas.openxmlformats.org/officeDocument/2006/relationships/hyperlink" Target="https://creativecommons.org/licenses/by-nc-sa/4.0/" TargetMode="External"/><Relationship Id="rId25" Type="http://schemas.openxmlformats.org/officeDocument/2006/relationships/hyperlink" Target="https://datacloud.ecogood.org/s/fBqH7HpfKo7RQbm" TargetMode="External"/><Relationship Id="rId28" Type="http://schemas.openxmlformats.org/officeDocument/2006/relationships/hyperlink" Target="https://www.ecogood.org/apply-ecg/educational-institutions/" TargetMode="External"/><Relationship Id="rId27" Type="http://schemas.openxmlformats.org/officeDocument/2006/relationships/hyperlink" Target="https://creativecommons.org/licenses/by-nc-sa/4.0/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hyperlink" Target="mailto:education@ecogood.org" TargetMode="External"/><Relationship Id="rId7" Type="http://schemas.openxmlformats.org/officeDocument/2006/relationships/image" Target="media/image4.jpg"/><Relationship Id="rId8" Type="http://schemas.openxmlformats.org/officeDocument/2006/relationships/image" Target="media/image8.png"/><Relationship Id="rId31" Type="http://schemas.openxmlformats.org/officeDocument/2006/relationships/header" Target="header3.xml"/><Relationship Id="rId30" Type="http://schemas.openxmlformats.org/officeDocument/2006/relationships/image" Target="media/image1.png"/><Relationship Id="rId11" Type="http://schemas.openxmlformats.org/officeDocument/2006/relationships/image" Target="media/image5.png"/><Relationship Id="rId33" Type="http://schemas.openxmlformats.org/officeDocument/2006/relationships/footer" Target="footer8.xml"/><Relationship Id="rId10" Type="http://schemas.openxmlformats.org/officeDocument/2006/relationships/image" Target="media/image2.jpg"/><Relationship Id="rId32" Type="http://schemas.openxmlformats.org/officeDocument/2006/relationships/header" Target="header7.xml"/><Relationship Id="rId13" Type="http://schemas.openxmlformats.org/officeDocument/2006/relationships/header" Target="header1.xml"/><Relationship Id="rId12" Type="http://schemas.openxmlformats.org/officeDocument/2006/relationships/header" Target="header2.xml"/><Relationship Id="rId34" Type="http://schemas.openxmlformats.org/officeDocument/2006/relationships/footer" Target="footer6.xml"/><Relationship Id="rId15" Type="http://schemas.openxmlformats.org/officeDocument/2006/relationships/footer" Target="footer1.xml"/><Relationship Id="rId14" Type="http://schemas.openxmlformats.org/officeDocument/2006/relationships/footer" Target="footer3.xml"/><Relationship Id="rId17" Type="http://schemas.openxmlformats.org/officeDocument/2006/relationships/header" Target="header5.xml"/><Relationship Id="rId16" Type="http://schemas.openxmlformats.org/officeDocument/2006/relationships/image" Target="media/image7.jpg"/><Relationship Id="rId19" Type="http://schemas.openxmlformats.org/officeDocument/2006/relationships/footer" Target="footer7.xml"/><Relationship Id="rId18" Type="http://schemas.openxmlformats.org/officeDocument/2006/relationships/header" Target="header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_rels/header4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_rels/header5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_rels/header6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_rels/header7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_rels/header8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woJ+4XitXmRpemyBbD9mxUmxag==">CgMxLjA4AHIhMUtXWGJzMGJVY3RyVzdMOXk4dW5JZGNndFhsOC00VVg5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2018-03-17T19:06:15.0000000Z</dcterms:created>
</cp:coreProperties>
</file>